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38699" w14:textId="7B3CDBE8" w:rsidR="00695BAE" w:rsidRPr="00D55821" w:rsidRDefault="00DE7FA3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>ПРОТОКОЛ</w:t>
      </w:r>
      <w:r w:rsidR="00E2549F"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№ </w:t>
      </w:r>
      <w:r w:rsidR="00270C27"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>8</w:t>
      </w:r>
    </w:p>
    <w:p w14:paraId="76BADAFC" w14:textId="77777777" w:rsidR="00C30F6A" w:rsidRPr="00D55821" w:rsidRDefault="00C30F6A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381F8F7F" w14:textId="0CF2BA2A" w:rsidR="00123CC5" w:rsidRPr="00D55821" w:rsidRDefault="00F87F9C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>засідання</w:t>
      </w:r>
      <w:r w:rsidR="00123CC5"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Громадської ради при МЗС України</w:t>
      </w:r>
      <w:r w:rsidR="00282AFC"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(далі - ГР)</w:t>
      </w:r>
    </w:p>
    <w:p w14:paraId="2DD0D4FA" w14:textId="2D846BFC" w:rsidR="00123CC5" w:rsidRPr="00D55821" w:rsidRDefault="000073C9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>1</w:t>
      </w:r>
      <w:r w:rsidR="00841452"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8 </w:t>
      </w:r>
      <w:r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>липня</w:t>
      </w:r>
      <w:r w:rsidR="00E2549F"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</w:t>
      </w:r>
      <w:r w:rsidR="00123CC5"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>202</w:t>
      </w:r>
      <w:r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>4</w:t>
      </w:r>
      <w:r w:rsidR="00123CC5"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року</w:t>
      </w:r>
      <w:r w:rsidR="0011572A"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, </w:t>
      </w:r>
      <w:r w:rsidR="00E2549F"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>онлайн</w:t>
      </w:r>
      <w:r w:rsidR="00063953"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формат</w:t>
      </w:r>
    </w:p>
    <w:p w14:paraId="3F874C7E" w14:textId="77777777" w:rsidR="00063953" w:rsidRPr="00D55821" w:rsidRDefault="00063953" w:rsidP="00140C1D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uk-UA"/>
        </w:rPr>
      </w:pPr>
    </w:p>
    <w:p w14:paraId="65DCFEB5" w14:textId="77777777" w:rsidR="00140C1D" w:rsidRPr="00D55821" w:rsidRDefault="00140C1D" w:rsidP="00140C1D">
      <w:pPr>
        <w:spacing w:after="0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14CACBEB" w14:textId="77777777" w:rsidR="00E2549F" w:rsidRPr="00D55821" w:rsidRDefault="00FF024F" w:rsidP="00140C1D">
      <w:pPr>
        <w:spacing w:after="0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Члени </w:t>
      </w:r>
      <w:r w:rsidR="00EC3A05"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Громадської ради </w:t>
      </w:r>
      <w:r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(наказ МЗС </w:t>
      </w:r>
      <w:r w:rsidR="006B6F93"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України </w:t>
      </w:r>
      <w:r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>від 02.08.2021 № 325)</w:t>
      </w:r>
      <w:r w:rsidR="000863B0"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>:</w:t>
      </w:r>
    </w:p>
    <w:p w14:paraId="744A8787" w14:textId="77777777" w:rsidR="00C30F6A" w:rsidRPr="00D55821" w:rsidRDefault="00C30F6A" w:rsidP="00140C1D">
      <w:pPr>
        <w:spacing w:after="0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42FDA5A7" w14:textId="77777777" w:rsidR="00E2549F" w:rsidRPr="00D55821" w:rsidRDefault="00EC3A05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Джердж Сергій </w:t>
      </w:r>
      <w:r w:rsidR="00F85151" w:rsidRPr="00D55821">
        <w:rPr>
          <w:rFonts w:ascii="Arial" w:hAnsi="Arial" w:cs="Arial"/>
          <w:color w:val="002060"/>
          <w:sz w:val="24"/>
          <w:szCs w:val="24"/>
          <w:lang w:val="uk-UA"/>
        </w:rPr>
        <w:t>Федорович</w:t>
      </w:r>
      <w:r w:rsidR="0027714E"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 </w:t>
      </w:r>
    </w:p>
    <w:p w14:paraId="17C8C2C0" w14:textId="77777777" w:rsidR="00856DB9" w:rsidRPr="00D55821" w:rsidRDefault="00856DB9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D55821">
        <w:rPr>
          <w:rFonts w:ascii="Arial" w:hAnsi="Arial" w:cs="Arial"/>
          <w:color w:val="002060"/>
          <w:sz w:val="24"/>
          <w:szCs w:val="24"/>
          <w:lang w:val="uk-UA"/>
        </w:rPr>
        <w:t>Жданов Ігор Олександрович</w:t>
      </w:r>
    </w:p>
    <w:p w14:paraId="0BE3F361" w14:textId="05B6CEF4" w:rsidR="00856DB9" w:rsidRPr="00D55821" w:rsidRDefault="00856DB9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D55821">
        <w:rPr>
          <w:rFonts w:ascii="Arial" w:hAnsi="Arial" w:cs="Arial"/>
          <w:color w:val="002060"/>
          <w:sz w:val="24"/>
          <w:szCs w:val="24"/>
          <w:lang w:val="uk-UA"/>
        </w:rPr>
        <w:t>Жовтенко</w:t>
      </w:r>
      <w:r w:rsidR="00FC6523"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 </w:t>
      </w:r>
      <w:r w:rsidRPr="00D55821">
        <w:rPr>
          <w:rFonts w:ascii="Arial" w:hAnsi="Arial" w:cs="Arial"/>
          <w:color w:val="002060"/>
          <w:sz w:val="24"/>
          <w:szCs w:val="24"/>
          <w:lang w:val="uk-UA"/>
        </w:rPr>
        <w:t>Тарас Григорович</w:t>
      </w:r>
    </w:p>
    <w:p w14:paraId="42FC897C" w14:textId="77777777" w:rsidR="00856DB9" w:rsidRPr="00D55821" w:rsidRDefault="00856DB9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D55821">
        <w:rPr>
          <w:rFonts w:ascii="Arial" w:hAnsi="Arial" w:cs="Arial"/>
          <w:color w:val="002060"/>
          <w:sz w:val="24"/>
          <w:szCs w:val="24"/>
          <w:lang w:val="uk-UA"/>
        </w:rPr>
        <w:t>Касянчук Сергій Володимирович</w:t>
      </w:r>
    </w:p>
    <w:p w14:paraId="6D332B31" w14:textId="77777777" w:rsidR="00856DB9" w:rsidRPr="00D55821" w:rsidRDefault="000863B0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Луценко Євгенія Михайлівна </w:t>
      </w:r>
    </w:p>
    <w:p w14:paraId="5F0CEC23" w14:textId="77777777" w:rsidR="00E2549F" w:rsidRPr="00D55821" w:rsidRDefault="00F85151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D55821">
        <w:rPr>
          <w:rFonts w:ascii="Arial" w:hAnsi="Arial" w:cs="Arial"/>
          <w:color w:val="002060"/>
          <w:sz w:val="24"/>
          <w:szCs w:val="24"/>
          <w:lang w:val="uk-UA"/>
        </w:rPr>
        <w:t>Матяш Ірина Борисівна</w:t>
      </w:r>
      <w:r w:rsidR="0027714E"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 </w:t>
      </w:r>
    </w:p>
    <w:p w14:paraId="0DCBE5F1" w14:textId="77777777" w:rsidR="00256B3A" w:rsidRPr="00D55821" w:rsidRDefault="0035186C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Пашков Михайло Юрійович </w:t>
      </w:r>
    </w:p>
    <w:p w14:paraId="7B74F0CC" w14:textId="77777777" w:rsidR="00363A81" w:rsidRPr="00D55821" w:rsidRDefault="00363A81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D55821">
        <w:rPr>
          <w:rFonts w:ascii="Arial" w:hAnsi="Arial" w:cs="Arial"/>
          <w:color w:val="002060"/>
          <w:sz w:val="24"/>
          <w:szCs w:val="24"/>
          <w:lang w:val="uk-UA"/>
        </w:rPr>
        <w:t>Осмоловська Юлія Юліївна</w:t>
      </w:r>
      <w:r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 </w:t>
      </w:r>
    </w:p>
    <w:p w14:paraId="3E5C6C91" w14:textId="77777777" w:rsidR="00363A81" w:rsidRPr="00D55821" w:rsidRDefault="00363A81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D55821">
        <w:rPr>
          <w:rFonts w:ascii="Arial" w:hAnsi="Arial" w:cs="Arial"/>
          <w:color w:val="002060"/>
          <w:sz w:val="24"/>
          <w:szCs w:val="24"/>
          <w:lang w:val="uk-UA"/>
        </w:rPr>
        <w:t>Яковлєв Максим Володимирович</w:t>
      </w:r>
      <w:r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 </w:t>
      </w:r>
    </w:p>
    <w:p w14:paraId="2F6A016B" w14:textId="6D505868" w:rsidR="00E2549F" w:rsidRPr="00D55821" w:rsidRDefault="0035186C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Шевченко Лілія Василівна </w:t>
      </w:r>
    </w:p>
    <w:p w14:paraId="21410687" w14:textId="77777777" w:rsidR="00553D04" w:rsidRPr="00D55821" w:rsidRDefault="00553D04" w:rsidP="00140C1D">
      <w:pPr>
        <w:spacing w:after="0" w:line="240" w:lineRule="auto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7658A6C2" w14:textId="6544F392" w:rsidR="006E11AF" w:rsidRPr="00D55821" w:rsidRDefault="00E2549F" w:rsidP="00140C1D">
      <w:pPr>
        <w:spacing w:after="0" w:line="240" w:lineRule="auto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Порядок </w:t>
      </w:r>
      <w:r w:rsidR="00754732" w:rsidRPr="00D55821">
        <w:rPr>
          <w:rFonts w:ascii="Arial" w:hAnsi="Arial" w:cs="Arial"/>
          <w:b/>
          <w:color w:val="002060"/>
          <w:sz w:val="24"/>
          <w:szCs w:val="24"/>
          <w:lang w:val="uk-UA"/>
        </w:rPr>
        <w:t>денний</w:t>
      </w:r>
    </w:p>
    <w:p w14:paraId="54D7F3A7" w14:textId="77777777" w:rsidR="00C30F6A" w:rsidRPr="00D55821" w:rsidRDefault="00C30F6A" w:rsidP="00140C1D">
      <w:pPr>
        <w:spacing w:after="0" w:line="240" w:lineRule="auto"/>
        <w:ind w:firstLine="708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p w14:paraId="7E661BD2" w14:textId="77777777" w:rsidR="00553D04" w:rsidRPr="00D55821" w:rsidRDefault="00553D04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1. Затвердження порядку денного.  </w:t>
      </w:r>
    </w:p>
    <w:p w14:paraId="27AF1343" w14:textId="7C5BE69F" w:rsidR="00841452" w:rsidRPr="00D55821" w:rsidRDefault="00553D04" w:rsidP="00841452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2. </w:t>
      </w:r>
      <w:r w:rsidR="00363A81" w:rsidRPr="00D55821">
        <w:rPr>
          <w:rFonts w:ascii="Arial" w:hAnsi="Arial" w:cs="Arial"/>
          <w:color w:val="002060"/>
          <w:sz w:val="24"/>
          <w:szCs w:val="24"/>
          <w:lang w:val="uk-UA"/>
        </w:rPr>
        <w:t>Планування п</w:t>
      </w:r>
      <w:r w:rsidR="00363A81" w:rsidRPr="00D55821">
        <w:rPr>
          <w:rFonts w:ascii="Arial" w:hAnsi="Arial" w:cs="Arial"/>
          <w:color w:val="002060"/>
          <w:sz w:val="24"/>
          <w:szCs w:val="24"/>
          <w:lang w:val="uk-UA"/>
        </w:rPr>
        <w:t>роведення зустріч</w:t>
      </w:r>
      <w:r w:rsidR="00363A81" w:rsidRPr="00D55821">
        <w:rPr>
          <w:rFonts w:ascii="Arial" w:hAnsi="Arial" w:cs="Arial"/>
          <w:color w:val="002060"/>
          <w:sz w:val="24"/>
          <w:szCs w:val="24"/>
          <w:lang w:val="uk-UA"/>
        </w:rPr>
        <w:t>і</w:t>
      </w:r>
      <w:r w:rsidR="00363A81"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 членів ГР при МЗС України з керівництвом МЗС України та представниками профільних підрозділів МЗС України для визначення пріоритетів та узгодження спільної діяльності</w:t>
      </w:r>
      <w:r w:rsidR="00841452" w:rsidRPr="00D55821">
        <w:rPr>
          <w:rFonts w:ascii="Arial" w:hAnsi="Arial" w:cs="Arial"/>
          <w:color w:val="002060"/>
          <w:sz w:val="24"/>
          <w:szCs w:val="24"/>
          <w:lang w:val="uk-UA"/>
        </w:rPr>
        <w:t>.</w:t>
      </w:r>
    </w:p>
    <w:p w14:paraId="05449935" w14:textId="5C8B4CB0" w:rsidR="00363A81" w:rsidRPr="00D55821" w:rsidRDefault="00363A81" w:rsidP="00841452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3. Про участь </w:t>
      </w:r>
      <w:r w:rsidRPr="00D55821">
        <w:rPr>
          <w:rFonts w:ascii="Arial" w:hAnsi="Arial" w:cs="Arial"/>
          <w:color w:val="002060"/>
          <w:sz w:val="24"/>
          <w:szCs w:val="24"/>
          <w:lang w:val="uk-UA"/>
        </w:rPr>
        <w:t>членів ГР при МЗС України</w:t>
      </w:r>
      <w:r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 у саміті </w:t>
      </w:r>
      <w:r w:rsidR="00D55821" w:rsidRPr="00D55821">
        <w:rPr>
          <w:rFonts w:ascii="Arial" w:hAnsi="Arial" w:cs="Arial"/>
          <w:color w:val="002060"/>
          <w:sz w:val="24"/>
          <w:szCs w:val="24"/>
          <w:lang w:val="uk-UA"/>
        </w:rPr>
        <w:t>«</w:t>
      </w:r>
      <w:r w:rsidRPr="00D55821">
        <w:rPr>
          <w:rFonts w:ascii="Arial" w:hAnsi="Arial" w:cs="Arial"/>
          <w:color w:val="002060"/>
          <w:sz w:val="24"/>
          <w:szCs w:val="24"/>
          <w:lang w:val="uk-UA"/>
        </w:rPr>
        <w:t>Партнерство, інновації та здоров'я ветеранів</w:t>
      </w:r>
      <w:r w:rsidR="00D55821" w:rsidRPr="00D55821">
        <w:rPr>
          <w:rFonts w:ascii="Arial" w:hAnsi="Arial" w:cs="Arial"/>
          <w:color w:val="002060"/>
          <w:sz w:val="24"/>
          <w:szCs w:val="24"/>
          <w:lang w:val="uk-UA"/>
        </w:rPr>
        <w:t>»</w:t>
      </w:r>
      <w:r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 у Брюсселі 4-7 липня 2024 року.</w:t>
      </w:r>
    </w:p>
    <w:p w14:paraId="6CE7F83A" w14:textId="68C8F1AB" w:rsidR="00841452" w:rsidRPr="00D55821" w:rsidRDefault="00767F43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 w:rsidRPr="00D55821">
        <w:rPr>
          <w:rFonts w:ascii="Arial" w:hAnsi="Arial" w:cs="Arial"/>
          <w:color w:val="002060"/>
          <w:sz w:val="24"/>
          <w:szCs w:val="24"/>
          <w:lang w:val="uk-UA"/>
        </w:rPr>
        <w:t>4</w:t>
      </w:r>
      <w:r w:rsidR="00553D04"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. </w:t>
      </w:r>
      <w:r w:rsidR="00841452"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Про </w:t>
      </w:r>
      <w:r w:rsidR="00363A81"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співпрацю </w:t>
      </w:r>
      <w:r w:rsidR="00363A81" w:rsidRPr="00D55821">
        <w:rPr>
          <w:rFonts w:ascii="Arial" w:hAnsi="Arial" w:cs="Arial"/>
          <w:color w:val="002060"/>
          <w:sz w:val="24"/>
          <w:szCs w:val="24"/>
          <w:lang w:val="uk-UA"/>
        </w:rPr>
        <w:t>ГР при МЗС України</w:t>
      </w:r>
      <w:r w:rsidR="00363A81"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 із Фондом </w:t>
      </w:r>
      <w:r w:rsidR="00363A81" w:rsidRPr="00D55821">
        <w:rPr>
          <w:rFonts w:ascii="Arial" w:hAnsi="Arial" w:cs="Arial"/>
          <w:color w:val="002060"/>
          <w:sz w:val="24"/>
          <w:szCs w:val="24"/>
          <w:lang w:val="uk-UA"/>
        </w:rPr>
        <w:t>Ганса Зайделя в Україні</w:t>
      </w:r>
      <w:r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 (</w:t>
      </w:r>
      <w:proofErr w:type="spellStart"/>
      <w:r w:rsidRPr="00D55821">
        <w:rPr>
          <w:rFonts w:ascii="Arial" w:hAnsi="Arial" w:cs="Arial"/>
          <w:color w:val="002060"/>
          <w:sz w:val="24"/>
          <w:szCs w:val="24"/>
          <w:lang w:val="uk-UA"/>
        </w:rPr>
        <w:t>Hanns</w:t>
      </w:r>
      <w:proofErr w:type="spellEnd"/>
      <w:r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 </w:t>
      </w:r>
      <w:proofErr w:type="spellStart"/>
      <w:r w:rsidRPr="00D55821">
        <w:rPr>
          <w:rFonts w:ascii="Arial" w:hAnsi="Arial" w:cs="Arial"/>
          <w:color w:val="002060"/>
          <w:sz w:val="24"/>
          <w:szCs w:val="24"/>
          <w:lang w:val="uk-UA"/>
        </w:rPr>
        <w:t>Seidel</w:t>
      </w:r>
      <w:proofErr w:type="spellEnd"/>
      <w:r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 </w:t>
      </w:r>
      <w:proofErr w:type="spellStart"/>
      <w:r w:rsidRPr="00D55821">
        <w:rPr>
          <w:rFonts w:ascii="Arial" w:hAnsi="Arial" w:cs="Arial"/>
          <w:color w:val="002060"/>
          <w:sz w:val="24"/>
          <w:szCs w:val="24"/>
          <w:lang w:val="uk-UA"/>
        </w:rPr>
        <w:t>Stiftung</w:t>
      </w:r>
      <w:proofErr w:type="spellEnd"/>
      <w:r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 </w:t>
      </w:r>
      <w:proofErr w:type="spellStart"/>
      <w:r w:rsidRPr="00D55821">
        <w:rPr>
          <w:rFonts w:ascii="Arial" w:hAnsi="Arial" w:cs="Arial"/>
          <w:color w:val="002060"/>
          <w:sz w:val="24"/>
          <w:szCs w:val="24"/>
          <w:lang w:val="uk-UA"/>
        </w:rPr>
        <w:t>Ukraine</w:t>
      </w:r>
      <w:proofErr w:type="spellEnd"/>
      <w:r w:rsidRPr="00D55821">
        <w:rPr>
          <w:rFonts w:ascii="Arial" w:hAnsi="Arial" w:cs="Arial"/>
          <w:color w:val="002060"/>
          <w:sz w:val="24"/>
          <w:szCs w:val="24"/>
          <w:lang w:val="uk-UA"/>
        </w:rPr>
        <w:t>)</w:t>
      </w:r>
      <w:r w:rsidR="00363A81"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 (Німеччина)</w:t>
      </w:r>
      <w:r w:rsidR="00841452" w:rsidRPr="00D55821">
        <w:rPr>
          <w:rFonts w:ascii="Arial" w:hAnsi="Arial" w:cs="Arial"/>
          <w:color w:val="002060"/>
          <w:sz w:val="24"/>
          <w:szCs w:val="24"/>
          <w:lang w:val="uk-UA"/>
        </w:rPr>
        <w:t>.</w:t>
      </w:r>
    </w:p>
    <w:p w14:paraId="12600FF8" w14:textId="1E8029C6" w:rsidR="00841452" w:rsidRPr="00D55821" w:rsidRDefault="00767F43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 w:rsidRPr="00D55821">
        <w:rPr>
          <w:rFonts w:ascii="Arial" w:hAnsi="Arial" w:cs="Arial"/>
          <w:color w:val="002060"/>
          <w:sz w:val="24"/>
          <w:szCs w:val="24"/>
          <w:lang w:val="uk-UA"/>
        </w:rPr>
        <w:t>5</w:t>
      </w:r>
      <w:r w:rsidR="00553D04" w:rsidRPr="00D55821">
        <w:rPr>
          <w:rFonts w:ascii="Arial" w:hAnsi="Arial" w:cs="Arial"/>
          <w:color w:val="002060"/>
          <w:sz w:val="24"/>
          <w:szCs w:val="24"/>
          <w:lang w:val="uk-UA"/>
        </w:rPr>
        <w:t xml:space="preserve">. </w:t>
      </w:r>
      <w:r w:rsidR="00841452" w:rsidRPr="00D55821">
        <w:rPr>
          <w:rFonts w:ascii="Arial" w:hAnsi="Arial" w:cs="Arial"/>
          <w:color w:val="002060"/>
          <w:sz w:val="24"/>
          <w:szCs w:val="24"/>
          <w:lang w:val="uk-UA"/>
        </w:rPr>
        <w:t>Різне</w:t>
      </w:r>
      <w:r w:rsidR="00363A81" w:rsidRPr="00D55821">
        <w:rPr>
          <w:rFonts w:ascii="Arial" w:hAnsi="Arial" w:cs="Arial"/>
          <w:color w:val="002060"/>
          <w:sz w:val="24"/>
          <w:szCs w:val="24"/>
          <w:lang w:val="uk-UA"/>
        </w:rPr>
        <w:t>.</w:t>
      </w:r>
    </w:p>
    <w:p w14:paraId="76428B04" w14:textId="77777777" w:rsidR="00AE7B0F" w:rsidRPr="00D55821" w:rsidRDefault="00AE7B0F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9040"/>
      </w:tblGrid>
      <w:tr w:rsidR="002D21B2" w:rsidRPr="00D55821" w14:paraId="48C57FCC" w14:textId="77777777" w:rsidTr="00553E83">
        <w:tc>
          <w:tcPr>
            <w:tcW w:w="589" w:type="dxa"/>
          </w:tcPr>
          <w:p w14:paraId="62BDAF0E" w14:textId="77777777" w:rsidR="006B6F93" w:rsidRPr="00D55821" w:rsidRDefault="006B6F93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П.1</w:t>
            </w:r>
          </w:p>
        </w:tc>
        <w:tc>
          <w:tcPr>
            <w:tcW w:w="9040" w:type="dxa"/>
          </w:tcPr>
          <w:p w14:paraId="21F1A552" w14:textId="77777777" w:rsidR="006B6F93" w:rsidRPr="00D55821" w:rsidRDefault="006B6F93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Затвердження порядку денного</w:t>
            </w:r>
          </w:p>
          <w:p w14:paraId="27801B55" w14:textId="77777777" w:rsidR="00C30F6A" w:rsidRPr="00D55821" w:rsidRDefault="00C30F6A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4E601095" w14:textId="7F1BC7CE" w:rsidR="006B6F93" w:rsidRPr="00D55821" w:rsidRDefault="006B6F93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С</w:t>
            </w:r>
            <w:r w:rsidR="00627E12"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ергій </w:t>
            </w: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Джердж</w:t>
            </w:r>
            <w:r w:rsidR="00627E12"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:</w:t>
            </w: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виніс на голосування </w:t>
            </w:r>
            <w:r w:rsidR="00D55821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орядок денний засідання.</w:t>
            </w:r>
          </w:p>
          <w:p w14:paraId="1BA35317" w14:textId="77777777" w:rsidR="00C30F6A" w:rsidRPr="00D55821" w:rsidRDefault="00C30F6A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  <w:p w14:paraId="0D0516C8" w14:textId="0433AC30" w:rsidR="00C30F6A" w:rsidRPr="00D55821" w:rsidRDefault="00C30F6A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Затвердити </w:t>
            </w:r>
            <w:r w:rsidR="00D55821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орядок денний засідання.</w:t>
            </w:r>
          </w:p>
          <w:p w14:paraId="79733596" w14:textId="77777777" w:rsidR="00C30F6A" w:rsidRPr="00D55821" w:rsidRDefault="00C30F6A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5668FD25" w14:textId="78A55322" w:rsidR="006B6F93" w:rsidRPr="00D55821" w:rsidRDefault="006B6F93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</w:t>
            </w:r>
          </w:p>
          <w:p w14:paraId="430485F9" w14:textId="24C4F8FE" w:rsidR="006B6F93" w:rsidRPr="00D55821" w:rsidRDefault="006B6F93" w:rsidP="00140C1D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</w:t>
            </w:r>
            <w:r w:rsidR="00AE7B0F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; 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«Проти» - 0; «Утрималися» - 0</w:t>
            </w:r>
            <w:r w:rsidR="0055668C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;</w:t>
            </w:r>
          </w:p>
          <w:p w14:paraId="0B57590E" w14:textId="77777777" w:rsidR="00C30F6A" w:rsidRPr="00D55821" w:rsidRDefault="00C30F6A" w:rsidP="00140C1D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  <w:p w14:paraId="14C44631" w14:textId="12C80987" w:rsidR="00376F25" w:rsidRPr="00D55821" w:rsidRDefault="00376F25" w:rsidP="00140C1D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</w:tc>
      </w:tr>
      <w:tr w:rsidR="002D21B2" w:rsidRPr="00D55821" w14:paraId="23F0A153" w14:textId="77777777" w:rsidTr="00553E83">
        <w:tc>
          <w:tcPr>
            <w:tcW w:w="589" w:type="dxa"/>
          </w:tcPr>
          <w:p w14:paraId="5BC47F36" w14:textId="0B26291A" w:rsidR="00312004" w:rsidRPr="00D55821" w:rsidRDefault="00312004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П.</w:t>
            </w:r>
            <w:r w:rsidR="006B6F93"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2</w:t>
            </w:r>
          </w:p>
        </w:tc>
        <w:tc>
          <w:tcPr>
            <w:tcW w:w="9040" w:type="dxa"/>
          </w:tcPr>
          <w:p w14:paraId="5421C0CA" w14:textId="46EB7022" w:rsidR="00841452" w:rsidRPr="00D55821" w:rsidRDefault="00841452" w:rsidP="00841452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Про </w:t>
            </w:r>
            <w:r w:rsidR="006421DE"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</w:t>
            </w:r>
            <w:r w:rsidR="006421DE"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ланування проведення зустрічі членів ГР при МЗС України з керівництвом МЗС України та представниками профільних підрозділів МЗС України для визначення пріоритетів та узгодження спільної діяльності.</w:t>
            </w:r>
          </w:p>
          <w:p w14:paraId="2DEDEF08" w14:textId="77777777" w:rsidR="00841452" w:rsidRPr="00D55821" w:rsidRDefault="00841452" w:rsidP="00841452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1BF7E418" w14:textId="34F86430" w:rsidR="00841452" w:rsidRPr="00D55821" w:rsidRDefault="00841452" w:rsidP="00841452">
            <w:pPr>
              <w:spacing w:after="0"/>
              <w:jc w:val="both"/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С</w:t>
            </w:r>
            <w:r w:rsidR="00627E12"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ергій </w:t>
            </w: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Джердж: </w:t>
            </w:r>
            <w:r w:rsidR="006421DE" w:rsidRPr="00D5582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ознайомив членів ГР</w:t>
            </w:r>
            <w:r w:rsidR="006421DE" w:rsidRPr="00D5582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при МЗС України </w:t>
            </w:r>
            <w:r w:rsidR="006421DE" w:rsidRPr="00D5582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про попередню домовленість щодо</w:t>
            </w:r>
            <w:r w:rsidR="006421DE" w:rsidRPr="00D5582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зустріч</w:t>
            </w:r>
            <w:r w:rsidR="006421DE" w:rsidRPr="00D5582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і</w:t>
            </w:r>
            <w:r w:rsidR="006421DE" w:rsidRPr="00D5582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членів Громадської ради при МЗС України із заступницею Міністра</w:t>
            </w:r>
            <w:r w:rsidR="006421DE" w:rsidRPr="00D5582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закордонних справ України</w:t>
            </w:r>
            <w:r w:rsidR="006421DE" w:rsidRPr="00D5582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пані Іриною Боровець на 08 серпня 2024 року.</w:t>
            </w:r>
          </w:p>
          <w:p w14:paraId="0FF62C90" w14:textId="77777777" w:rsidR="00841452" w:rsidRPr="00D55821" w:rsidRDefault="00841452" w:rsidP="00841452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27869740" w14:textId="0BC7510F" w:rsidR="00313C89" w:rsidRPr="00D55821" w:rsidRDefault="00841452" w:rsidP="00313C89">
            <w:pPr>
              <w:spacing w:after="0"/>
              <w:jc w:val="both"/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</w:t>
            </w:r>
            <w:r w:rsidR="006421DE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підтримати спільну пропозицію МЗС та ГР при МЗС щодо зустрічі </w:t>
            </w:r>
            <w:r w:rsidR="006421DE" w:rsidRPr="00D5582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членів Громадської ради при МЗС України із заступницею Міністра закордонних справ України пані Іриною Боровець 08</w:t>
            </w:r>
            <w:r w:rsidR="006421DE" w:rsidRPr="00D5582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-го</w:t>
            </w:r>
            <w:r w:rsidR="006421DE" w:rsidRPr="00D5582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серпня 2024 року.</w:t>
            </w:r>
          </w:p>
          <w:p w14:paraId="72183A7F" w14:textId="71653635" w:rsidR="00841452" w:rsidRPr="00D55821" w:rsidRDefault="00841452" w:rsidP="00841452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  <w:p w14:paraId="70889E2E" w14:textId="77777777" w:rsidR="00841452" w:rsidRPr="00D55821" w:rsidRDefault="00841452" w:rsidP="00841452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Голосування: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44294525" w14:textId="77777777" w:rsidR="00841452" w:rsidRPr="00D55821" w:rsidRDefault="00841452" w:rsidP="00841452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одноголосно; «Проти» - 0; «Утрималися» - 0;</w:t>
            </w:r>
          </w:p>
          <w:p w14:paraId="5112636E" w14:textId="77777777" w:rsidR="00841452" w:rsidRPr="00D55821" w:rsidRDefault="00841452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239B9D5C" w14:textId="77777777" w:rsidR="00282AFC" w:rsidRPr="00D55821" w:rsidRDefault="00282AFC" w:rsidP="00376F25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</w:tr>
      <w:tr w:rsidR="002D21B2" w:rsidRPr="00D55821" w14:paraId="19370F5F" w14:textId="77777777" w:rsidTr="00553E83">
        <w:tc>
          <w:tcPr>
            <w:tcW w:w="589" w:type="dxa"/>
          </w:tcPr>
          <w:p w14:paraId="6169AAE4" w14:textId="77077CAC" w:rsidR="00312004" w:rsidRPr="00D55821" w:rsidRDefault="00312004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lastRenderedPageBreak/>
              <w:t>П.</w:t>
            </w:r>
            <w:r w:rsidR="003E5D9A"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3</w:t>
            </w:r>
            <w:r w:rsidR="00313C89"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040" w:type="dxa"/>
          </w:tcPr>
          <w:p w14:paraId="6E776EEA" w14:textId="1165E540" w:rsidR="00313C89" w:rsidRPr="00D55821" w:rsidRDefault="00313C89" w:rsidP="00313C89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Про</w:t>
            </w:r>
            <w:r w:rsidR="006421DE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6421DE"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участь членів ГР при МЗС України у саміті </w:t>
            </w:r>
            <w:r w:rsidR="002443B1"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«</w:t>
            </w:r>
            <w:r w:rsidR="006421DE"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Партнерство, інновації та </w:t>
            </w:r>
            <w:r w:rsidR="00D55821"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здоров’я</w:t>
            </w:r>
            <w:r w:rsidR="006421DE"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ветеранів</w:t>
            </w:r>
            <w:r w:rsidR="002443B1"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»</w:t>
            </w:r>
            <w:r w:rsidR="006421DE"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у Брюсселі 4-7 липня 2024 року.</w:t>
            </w:r>
          </w:p>
          <w:p w14:paraId="76E6EBB5" w14:textId="77777777" w:rsidR="00313C89" w:rsidRPr="00D55821" w:rsidRDefault="00313C89" w:rsidP="00313C89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73B0A666" w14:textId="47262FCE" w:rsidR="006421DE" w:rsidRPr="00D55821" w:rsidRDefault="006421DE" w:rsidP="00627E12">
            <w:pPr>
              <w:spacing w:after="0"/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Євгенія</w:t>
            </w:r>
            <w:r w:rsidRPr="00D55821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 xml:space="preserve"> </w:t>
            </w:r>
            <w:r w:rsidRPr="00D55821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Луценко</w:t>
            </w:r>
            <w:r w:rsidRPr="00D55821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 xml:space="preserve">: 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ознайомила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членів 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ГР при МЗС України</w:t>
            </w:r>
            <w:r w:rsidR="002443B1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із результатами 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2443B1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саміту </w:t>
            </w:r>
            <w:r w:rsidR="002443B1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«Партнерство, інновації та </w:t>
            </w:r>
            <w:r w:rsidR="00D55821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здоров’я</w:t>
            </w:r>
            <w:r w:rsidR="002443B1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ветеранів»</w:t>
            </w:r>
            <w:r w:rsidR="002443B1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, який відбувся</w:t>
            </w:r>
            <w:r w:rsidR="002443B1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у Брюсселі 4-7 липня 2024 року</w:t>
            </w:r>
            <w:r w:rsidR="002443B1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та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2443B1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участі в ньому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2443B1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ветеранів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2443B1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російсько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-української війни</w:t>
            </w:r>
            <w:r w:rsidR="002443B1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. Надана висока оцінка зустрічі ветеранів з українською діаспорою в місті</w:t>
            </w:r>
            <w:r w:rsidR="002443B1" w:rsidRPr="00D55821">
              <w:rPr>
                <w:lang w:val="uk-UA"/>
              </w:rPr>
              <w:t xml:space="preserve"> </w:t>
            </w:r>
            <w:r w:rsidR="002443B1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Ґент</w:t>
            </w:r>
            <w:r w:rsidR="002443B1" w:rsidRPr="00D55821">
              <w:rPr>
                <w:lang w:val="uk-UA"/>
              </w:rPr>
              <w:t xml:space="preserve"> </w:t>
            </w:r>
            <w:r w:rsidR="002443B1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у Фламандському регіоні Бельгії</w:t>
            </w:r>
            <w:r w:rsidR="002443B1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. За участі ГР при МЗС була підготовлена презентація «</w:t>
            </w:r>
            <w:r w:rsidR="002443B1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Актуалізовані потреби ветеранів та ветеранок російсько-української війни</w:t>
            </w:r>
            <w:r w:rsidR="002443B1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», яку було представлено на саміті. </w:t>
            </w:r>
            <w:r w:rsidR="00627E12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Учасниками саміту започатковано </w:t>
            </w:r>
            <w:r w:rsidR="002443B1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міжнародн</w:t>
            </w:r>
            <w:r w:rsidR="00627E12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у </w:t>
            </w:r>
            <w:r w:rsidR="002443B1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платформ</w:t>
            </w:r>
            <w:r w:rsidR="00627E12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у</w:t>
            </w:r>
            <w:r w:rsidR="002443B1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«Новий старт для України»</w:t>
            </w:r>
            <w:r w:rsidR="00627E12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.</w:t>
            </w:r>
          </w:p>
          <w:p w14:paraId="4FCDE7A8" w14:textId="77777777" w:rsidR="00627E12" w:rsidRPr="00D55821" w:rsidRDefault="00627E12" w:rsidP="00627E12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28AB9171" w14:textId="40E0D124" w:rsidR="00627E12" w:rsidRPr="00D55821" w:rsidRDefault="00313C89" w:rsidP="00627E12">
            <w:pPr>
              <w:spacing w:after="0"/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</w:t>
            </w:r>
            <w:r w:rsidR="00627E12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започаткувати співпрацю з ново</w:t>
            </w:r>
            <w:r w:rsidR="00627E12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створен</w:t>
            </w:r>
            <w:r w:rsidR="00627E12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ою </w:t>
            </w:r>
            <w:r w:rsidR="00627E12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міжнародн</w:t>
            </w:r>
            <w:r w:rsidR="00627E12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ою </w:t>
            </w:r>
            <w:r w:rsidR="00627E12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платформ</w:t>
            </w:r>
            <w:r w:rsidR="00627E12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ою</w:t>
            </w:r>
            <w:r w:rsidR="00627E12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«Новий старт для України»</w:t>
            </w:r>
            <w:r w:rsidR="00627E12"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.</w:t>
            </w:r>
          </w:p>
          <w:p w14:paraId="26499541" w14:textId="77777777" w:rsidR="00313C89" w:rsidRPr="00D55821" w:rsidRDefault="00313C89" w:rsidP="00313C89">
            <w:pPr>
              <w:tabs>
                <w:tab w:val="left" w:pos="709"/>
              </w:tabs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6FEFAF89" w14:textId="77777777" w:rsidR="00313C89" w:rsidRPr="00D55821" w:rsidRDefault="00313C89" w:rsidP="00313C89">
            <w:pPr>
              <w:tabs>
                <w:tab w:val="left" w:pos="709"/>
              </w:tabs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</w:t>
            </w:r>
          </w:p>
          <w:p w14:paraId="592DFB33" w14:textId="77777777" w:rsidR="00313C89" w:rsidRPr="00D55821" w:rsidRDefault="00313C89" w:rsidP="00313C89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одноголосно; «Проти» - 0; «Утрималися» - 0;</w:t>
            </w:r>
          </w:p>
          <w:p w14:paraId="5E3B76C5" w14:textId="77777777" w:rsidR="00313C89" w:rsidRPr="00D55821" w:rsidRDefault="00313C89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08A7676A" w14:textId="77777777" w:rsidR="00627E12" w:rsidRPr="00D55821" w:rsidRDefault="00627E12" w:rsidP="00376F25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</w:tr>
      <w:tr w:rsidR="002D21B2" w:rsidRPr="00D55821" w14:paraId="265A7F5F" w14:textId="77777777" w:rsidTr="00553E83">
        <w:tc>
          <w:tcPr>
            <w:tcW w:w="589" w:type="dxa"/>
          </w:tcPr>
          <w:p w14:paraId="4B5F845F" w14:textId="54B0D959" w:rsidR="005D778E" w:rsidRPr="00D55821" w:rsidRDefault="005D778E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П.4</w:t>
            </w:r>
            <w:r w:rsidR="00313C89"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040" w:type="dxa"/>
          </w:tcPr>
          <w:p w14:paraId="720B38A9" w14:textId="77777777" w:rsidR="00627E12" w:rsidRPr="00D55821" w:rsidRDefault="00627E12" w:rsidP="00627E12">
            <w:pPr>
              <w:tabs>
                <w:tab w:val="left" w:pos="709"/>
              </w:tabs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Про співпрацю ГР при МЗС України із Фондом Ганса Зайделя в Україні (</w:t>
            </w:r>
            <w:proofErr w:type="spellStart"/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Hanns</w:t>
            </w:r>
            <w:proofErr w:type="spellEnd"/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Seidel</w:t>
            </w:r>
            <w:proofErr w:type="spellEnd"/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Stiftung</w:t>
            </w:r>
            <w:proofErr w:type="spellEnd"/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Ukraine</w:t>
            </w:r>
            <w:proofErr w:type="spellEnd"/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) (Німеччина).</w:t>
            </w:r>
          </w:p>
          <w:p w14:paraId="7EE4BEF4" w14:textId="77777777" w:rsidR="00627E12" w:rsidRPr="00D55821" w:rsidRDefault="00627E12" w:rsidP="00627E12">
            <w:pPr>
              <w:tabs>
                <w:tab w:val="left" w:pos="709"/>
              </w:tabs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185451EA" w14:textId="75BBB5AC" w:rsidR="00627E12" w:rsidRPr="00D55821" w:rsidRDefault="00627E12" w:rsidP="00C266EF">
            <w:pPr>
              <w:tabs>
                <w:tab w:val="left" w:pos="709"/>
              </w:tabs>
              <w:spacing w:after="0"/>
              <w:jc w:val="both"/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Михайло</w:t>
            </w:r>
            <w:r w:rsidRPr="00D55821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 xml:space="preserve"> </w:t>
            </w:r>
            <w:r w:rsidRPr="00D55821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Пашков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Pr="00D5582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ознайомив членів ГР при МЗС України про </w:t>
            </w:r>
            <w:r w:rsidR="00C266E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початок</w:t>
            </w:r>
            <w:r w:rsidRPr="00D5582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співпраці </w:t>
            </w:r>
            <w:r w:rsidRPr="00D5582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ГР при МЗС України із Фондом Ганса Зайделя в Україні</w:t>
            </w:r>
            <w:r w:rsidRPr="00D5582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в частині підготовки аналітичних матеріалів щодо питань внутрішньої та зовнішньої політики України.</w:t>
            </w:r>
          </w:p>
          <w:p w14:paraId="448E639F" w14:textId="77777777" w:rsidR="00627E12" w:rsidRPr="00D55821" w:rsidRDefault="00627E12" w:rsidP="00C266EF">
            <w:pPr>
              <w:tabs>
                <w:tab w:val="left" w:pos="709"/>
              </w:tabs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3D728197" w14:textId="6CC79D0C" w:rsidR="00627E12" w:rsidRPr="00D55821" w:rsidRDefault="00627E12" w:rsidP="00C266EF">
            <w:pPr>
              <w:spacing w:after="0"/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підтримати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співпрацю </w:t>
            </w:r>
            <w:r w:rsidRPr="00D5582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ГР при МЗС України із Фондом Ганса Зайделя в Україні</w:t>
            </w:r>
            <w:r w:rsidRPr="00D5582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.</w:t>
            </w:r>
          </w:p>
          <w:p w14:paraId="6CE241D0" w14:textId="77777777" w:rsidR="00627E12" w:rsidRPr="00D55821" w:rsidRDefault="00627E12" w:rsidP="00627E12">
            <w:pPr>
              <w:tabs>
                <w:tab w:val="left" w:pos="709"/>
              </w:tabs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3F03BF19" w14:textId="77777777" w:rsidR="00627E12" w:rsidRPr="00D55821" w:rsidRDefault="00627E12" w:rsidP="00627E12">
            <w:pPr>
              <w:tabs>
                <w:tab w:val="left" w:pos="709"/>
              </w:tabs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lastRenderedPageBreak/>
              <w:t>Голосування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</w:t>
            </w:r>
          </w:p>
          <w:p w14:paraId="0DC709B6" w14:textId="77777777" w:rsidR="00627E12" w:rsidRPr="00D55821" w:rsidRDefault="00627E12" w:rsidP="00627E12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одноголосно; «Проти» - 0; «Утрималися» - 0;</w:t>
            </w:r>
          </w:p>
          <w:p w14:paraId="39DF0FEB" w14:textId="77777777" w:rsidR="00627E12" w:rsidRPr="00D55821" w:rsidRDefault="00627E12" w:rsidP="00627E12">
            <w:pPr>
              <w:tabs>
                <w:tab w:val="left" w:pos="709"/>
              </w:tabs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2A6601A9" w14:textId="3823F6D7" w:rsidR="009F50CD" w:rsidRPr="00D55821" w:rsidRDefault="009F50CD" w:rsidP="00627E12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</w:tc>
      </w:tr>
      <w:tr w:rsidR="002D21B2" w:rsidRPr="00D55821" w14:paraId="1C2B5ED1" w14:textId="77777777" w:rsidTr="00553E83">
        <w:tc>
          <w:tcPr>
            <w:tcW w:w="589" w:type="dxa"/>
          </w:tcPr>
          <w:p w14:paraId="70557C63" w14:textId="228AE013" w:rsidR="00312004" w:rsidRPr="00D55821" w:rsidRDefault="00627E12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lastRenderedPageBreak/>
              <w:t>П.</w:t>
            </w: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5</w:t>
            </w:r>
          </w:p>
        </w:tc>
        <w:tc>
          <w:tcPr>
            <w:tcW w:w="9040" w:type="dxa"/>
          </w:tcPr>
          <w:p w14:paraId="53F58906" w14:textId="77777777" w:rsidR="00627E12" w:rsidRPr="00D55821" w:rsidRDefault="00627E12" w:rsidP="00627E12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Різне</w:t>
            </w:r>
            <w:r w:rsidRPr="00D5582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0D96950F" w14:textId="77777777" w:rsidR="00627E12" w:rsidRPr="00D55821" w:rsidRDefault="00627E12" w:rsidP="00627E12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0C9474C0" w14:textId="784E8FD4" w:rsidR="007705B0" w:rsidRPr="00D55821" w:rsidRDefault="007705B0" w:rsidP="007705B0">
            <w:pPr>
              <w:spacing w:after="0"/>
              <w:jc w:val="both"/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Ч</w:t>
            </w: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лен</w:t>
            </w: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и</w:t>
            </w: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ГР</w:t>
            </w:r>
            <w:r w:rsidRPr="00D5582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</w:t>
            </w:r>
            <w:r w:rsidR="00627E12"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Ірина Матяш</w:t>
            </w:r>
            <w:r w:rsidR="00627E12"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, </w:t>
            </w:r>
            <w:r w:rsidR="00627E12"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Юлія Осмоловська</w:t>
            </w: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, </w:t>
            </w: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Максим </w:t>
            </w:r>
            <w:r w:rsidR="00627E12"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Яковлєв</w:t>
            </w: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, </w:t>
            </w: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Лілія</w:t>
            </w: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  <w:r w:rsidR="00627E12"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Шевченко </w:t>
            </w: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та </w:t>
            </w: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Сергій Касянчук</w:t>
            </w:r>
            <w:r w:rsidRPr="00D5582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висловились за посилення горизонтальних зв’язків між громадським організаціями що в</w:t>
            </w:r>
            <w:r w:rsidR="00376F25" w:rsidRPr="00D5582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х</w:t>
            </w:r>
            <w:r w:rsidRPr="00D5582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одять до складу</w:t>
            </w:r>
            <w:r w:rsidRPr="00D5582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ГР при МЗС України</w:t>
            </w:r>
            <w:r w:rsidRPr="00D55821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.</w:t>
            </w:r>
          </w:p>
          <w:p w14:paraId="27CF3367" w14:textId="364FA013" w:rsidR="00627E12" w:rsidRPr="00D55821" w:rsidRDefault="00627E12" w:rsidP="00627E12">
            <w:pPr>
              <w:spacing w:after="0"/>
              <w:jc w:val="both"/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</w:pPr>
          </w:p>
          <w:p w14:paraId="11238ED6" w14:textId="77777777" w:rsidR="00C30F6A" w:rsidRPr="00D55821" w:rsidRDefault="00C30F6A" w:rsidP="007705B0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</w:tc>
      </w:tr>
      <w:tr w:rsidR="002D21B2" w:rsidRPr="00D55821" w14:paraId="13183541" w14:textId="77777777" w:rsidTr="00553E83">
        <w:tc>
          <w:tcPr>
            <w:tcW w:w="589" w:type="dxa"/>
          </w:tcPr>
          <w:p w14:paraId="31955D4F" w14:textId="72A75927" w:rsidR="001B646F" w:rsidRPr="00D55821" w:rsidRDefault="001B646F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9040" w:type="dxa"/>
          </w:tcPr>
          <w:p w14:paraId="4AED77C2" w14:textId="6294E160" w:rsidR="001B646F" w:rsidRPr="00D55821" w:rsidRDefault="001B646F" w:rsidP="00140C1D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</w:tc>
      </w:tr>
    </w:tbl>
    <w:p w14:paraId="7D43591B" w14:textId="121E6EAB" w:rsidR="00A53803" w:rsidRDefault="00A53803" w:rsidP="009607EA">
      <w:pPr>
        <w:pStyle w:val="a3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p w14:paraId="24937B94" w14:textId="77777777" w:rsidR="00C266EF" w:rsidRPr="00D55821" w:rsidRDefault="00C266EF" w:rsidP="009607EA">
      <w:pPr>
        <w:pStyle w:val="a3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544"/>
        <w:gridCol w:w="2404"/>
      </w:tblGrid>
      <w:tr w:rsidR="002D21B2" w:rsidRPr="00D55821" w14:paraId="1FBC0A12" w14:textId="77777777" w:rsidTr="00A53803">
        <w:tc>
          <w:tcPr>
            <w:tcW w:w="3681" w:type="dxa"/>
          </w:tcPr>
          <w:p w14:paraId="17E56B8C" w14:textId="77777777" w:rsidR="00CE188D" w:rsidRPr="00D55821" w:rsidRDefault="005D778E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Голова </w:t>
            </w:r>
          </w:p>
          <w:p w14:paraId="6A5A7975" w14:textId="7C27A4AD" w:rsidR="005D778E" w:rsidRPr="00D55821" w:rsidRDefault="005D778E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Громадської ради </w:t>
            </w:r>
          </w:p>
          <w:p w14:paraId="2BF27398" w14:textId="77777777" w:rsidR="005D778E" w:rsidRPr="00D55821" w:rsidRDefault="005D778E" w:rsidP="00140C1D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0B5194C1" w14:textId="338A984E" w:rsidR="005D778E" w:rsidRPr="00D55821" w:rsidRDefault="005D778E" w:rsidP="00C30F6A">
            <w:pPr>
              <w:pStyle w:val="a3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noProof/>
                <w:color w:val="002060"/>
                <w:lang w:val="uk-UA" w:eastAsia="uk-UA"/>
              </w:rPr>
              <w:drawing>
                <wp:inline distT="0" distB="0" distL="0" distR="0" wp14:anchorId="6701AE2B" wp14:editId="1B8F1A15">
                  <wp:extent cx="1600021" cy="883920"/>
                  <wp:effectExtent l="0" t="0" r="635" b="0"/>
                  <wp:docPr id="1" name="Рисунок 1" descr="E:\2005-07-22_000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05-07-22_000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841" cy="949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</w:tcPr>
          <w:p w14:paraId="5943F933" w14:textId="77777777" w:rsidR="005D778E" w:rsidRPr="00D55821" w:rsidRDefault="005D778E" w:rsidP="00140C1D">
            <w:pPr>
              <w:pStyle w:val="a3"/>
              <w:jc w:val="right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D55821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Сергій ДЖЕРДЖ </w:t>
            </w:r>
          </w:p>
        </w:tc>
      </w:tr>
    </w:tbl>
    <w:p w14:paraId="718C5C8C" w14:textId="77777777" w:rsidR="00312004" w:rsidRPr="00D55821" w:rsidRDefault="00312004" w:rsidP="00140C1D">
      <w:pPr>
        <w:pStyle w:val="a3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30C759E0" w14:textId="77777777" w:rsidR="00FA2FCC" w:rsidRPr="00D55821" w:rsidRDefault="00FA2FCC" w:rsidP="00140C1D">
      <w:pPr>
        <w:pStyle w:val="a3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6F19A0AD" w14:textId="77777777" w:rsidR="00FA2FCC" w:rsidRPr="00D55821" w:rsidRDefault="00FA2FCC" w:rsidP="00140C1D">
      <w:pPr>
        <w:pStyle w:val="a3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4535F1ED" w14:textId="77777777" w:rsidR="00FA2FCC" w:rsidRPr="00D55821" w:rsidRDefault="00FA2FCC" w:rsidP="00140C1D">
      <w:pPr>
        <w:pStyle w:val="a3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sectPr w:rsidR="00FA2FCC" w:rsidRPr="00D55821" w:rsidSect="00282AFC">
      <w:headerReference w:type="default" r:id="rId9"/>
      <w:pgSz w:w="11906" w:h="16838"/>
      <w:pgMar w:top="993" w:right="850" w:bottom="1701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6B4E2" w14:textId="77777777" w:rsidR="00F30088" w:rsidRDefault="00F30088" w:rsidP="00C811A2">
      <w:pPr>
        <w:spacing w:after="0" w:line="240" w:lineRule="auto"/>
      </w:pPr>
      <w:r>
        <w:separator/>
      </w:r>
    </w:p>
  </w:endnote>
  <w:endnote w:type="continuationSeparator" w:id="0">
    <w:p w14:paraId="7FCC24B4" w14:textId="77777777" w:rsidR="00F30088" w:rsidRDefault="00F30088" w:rsidP="00C8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snova MFA Cyrillic">
    <w:altName w:val="Calibri"/>
    <w:charset w:val="CC"/>
    <w:family w:val="auto"/>
    <w:pitch w:val="variable"/>
    <w:sig w:usb0="80000203" w:usb1="0000000A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CE859" w14:textId="77777777" w:rsidR="00F30088" w:rsidRDefault="00F30088" w:rsidP="00C811A2">
      <w:pPr>
        <w:spacing w:after="0" w:line="240" w:lineRule="auto"/>
      </w:pPr>
      <w:r>
        <w:separator/>
      </w:r>
    </w:p>
  </w:footnote>
  <w:footnote w:type="continuationSeparator" w:id="0">
    <w:p w14:paraId="51913ED1" w14:textId="77777777" w:rsidR="00F30088" w:rsidRDefault="00F30088" w:rsidP="00C81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303173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95FB963" w14:textId="77777777" w:rsidR="00C811A2" w:rsidRPr="00C811A2" w:rsidRDefault="00C811A2">
        <w:pPr>
          <w:pStyle w:val="aa"/>
          <w:jc w:val="right"/>
          <w:rPr>
            <w:rFonts w:ascii="Times New Roman" w:hAnsi="Times New Roman"/>
            <w:sz w:val="28"/>
            <w:szCs w:val="28"/>
          </w:rPr>
        </w:pPr>
        <w:r w:rsidRPr="00C811A2">
          <w:rPr>
            <w:rFonts w:ascii="Times New Roman" w:hAnsi="Times New Roman"/>
            <w:sz w:val="28"/>
            <w:szCs w:val="28"/>
          </w:rPr>
          <w:fldChar w:fldCharType="begin"/>
        </w:r>
        <w:r w:rsidRPr="00C811A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811A2">
          <w:rPr>
            <w:rFonts w:ascii="Times New Roman" w:hAnsi="Times New Roman"/>
            <w:sz w:val="28"/>
            <w:szCs w:val="28"/>
          </w:rPr>
          <w:fldChar w:fldCharType="separate"/>
        </w:r>
        <w:r w:rsidR="00DB37D7" w:rsidRPr="00DB37D7">
          <w:rPr>
            <w:rFonts w:ascii="Times New Roman" w:hAnsi="Times New Roman"/>
            <w:noProof/>
            <w:sz w:val="28"/>
            <w:szCs w:val="28"/>
            <w:lang w:val="uk-UA"/>
          </w:rPr>
          <w:t>3</w:t>
        </w:r>
        <w:r w:rsidRPr="00C811A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857CFC0" w14:textId="77777777" w:rsidR="00C811A2" w:rsidRDefault="00C811A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111C4"/>
    <w:multiLevelType w:val="hybridMultilevel"/>
    <w:tmpl w:val="1CAEAC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E0C0C768">
      <w:start w:val="1"/>
      <w:numFmt w:val="decimal"/>
      <w:lvlText w:val="%2."/>
      <w:lvlJc w:val="left"/>
      <w:pPr>
        <w:ind w:left="1440" w:hanging="360"/>
      </w:pPr>
      <w:rPr>
        <w:rFonts w:ascii="Osnova MFA Cyrillic" w:eastAsia="Calibri" w:hAnsi="Osnova MFA Cyrillic"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3022"/>
    <w:multiLevelType w:val="hybridMultilevel"/>
    <w:tmpl w:val="B2086DEE"/>
    <w:lvl w:ilvl="0" w:tplc="22100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144B0E"/>
    <w:multiLevelType w:val="hybridMultilevel"/>
    <w:tmpl w:val="139A66D0"/>
    <w:lvl w:ilvl="0" w:tplc="D5E695E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3705C7"/>
    <w:multiLevelType w:val="hybridMultilevel"/>
    <w:tmpl w:val="6BE84572"/>
    <w:lvl w:ilvl="0" w:tplc="7E5C2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7223A8"/>
    <w:multiLevelType w:val="hybridMultilevel"/>
    <w:tmpl w:val="17823290"/>
    <w:lvl w:ilvl="0" w:tplc="986C0CCA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49729E"/>
    <w:multiLevelType w:val="hybridMultilevel"/>
    <w:tmpl w:val="EA56A5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6212A"/>
    <w:multiLevelType w:val="hybridMultilevel"/>
    <w:tmpl w:val="A0486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87AE6"/>
    <w:multiLevelType w:val="hybridMultilevel"/>
    <w:tmpl w:val="3E1037B8"/>
    <w:lvl w:ilvl="0" w:tplc="D5E695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442E4"/>
    <w:multiLevelType w:val="hybridMultilevel"/>
    <w:tmpl w:val="D9FAEB7C"/>
    <w:lvl w:ilvl="0" w:tplc="92508138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12B6E5B"/>
    <w:multiLevelType w:val="hybridMultilevel"/>
    <w:tmpl w:val="1EC6E2E8"/>
    <w:lvl w:ilvl="0" w:tplc="857AFA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505C6D"/>
    <w:multiLevelType w:val="hybridMultilevel"/>
    <w:tmpl w:val="0D4A47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00920"/>
    <w:multiLevelType w:val="hybridMultilevel"/>
    <w:tmpl w:val="FC02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E3D0A"/>
    <w:multiLevelType w:val="hybridMultilevel"/>
    <w:tmpl w:val="CB88B58C"/>
    <w:lvl w:ilvl="0" w:tplc="D5E695E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E14BB"/>
    <w:multiLevelType w:val="hybridMultilevel"/>
    <w:tmpl w:val="D1AC73B4"/>
    <w:lvl w:ilvl="0" w:tplc="768EA4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8413355">
    <w:abstractNumId w:val="13"/>
  </w:num>
  <w:num w:numId="2" w16cid:durableId="897014728">
    <w:abstractNumId w:val="9"/>
  </w:num>
  <w:num w:numId="3" w16cid:durableId="2064401254">
    <w:abstractNumId w:val="8"/>
  </w:num>
  <w:num w:numId="4" w16cid:durableId="383529208">
    <w:abstractNumId w:val="4"/>
  </w:num>
  <w:num w:numId="5" w16cid:durableId="234247392">
    <w:abstractNumId w:val="11"/>
  </w:num>
  <w:num w:numId="6" w16cid:durableId="1276904493">
    <w:abstractNumId w:val="6"/>
  </w:num>
  <w:num w:numId="7" w16cid:durableId="1046367816">
    <w:abstractNumId w:val="10"/>
  </w:num>
  <w:num w:numId="8" w16cid:durableId="972641295">
    <w:abstractNumId w:val="1"/>
  </w:num>
  <w:num w:numId="9" w16cid:durableId="771320960">
    <w:abstractNumId w:val="3"/>
  </w:num>
  <w:num w:numId="10" w16cid:durableId="1771046493">
    <w:abstractNumId w:val="2"/>
  </w:num>
  <w:num w:numId="11" w16cid:durableId="1634946051">
    <w:abstractNumId w:val="12"/>
  </w:num>
  <w:num w:numId="12" w16cid:durableId="1937710197">
    <w:abstractNumId w:val="7"/>
  </w:num>
  <w:num w:numId="13" w16cid:durableId="1343387532">
    <w:abstractNumId w:val="0"/>
  </w:num>
  <w:num w:numId="14" w16cid:durableId="1031688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11"/>
    <w:rsid w:val="00000E71"/>
    <w:rsid w:val="00003994"/>
    <w:rsid w:val="000073C9"/>
    <w:rsid w:val="00007BE3"/>
    <w:rsid w:val="00010381"/>
    <w:rsid w:val="00020D4A"/>
    <w:rsid w:val="00025D88"/>
    <w:rsid w:val="00032607"/>
    <w:rsid w:val="000405DA"/>
    <w:rsid w:val="00063953"/>
    <w:rsid w:val="00070C62"/>
    <w:rsid w:val="00073F9C"/>
    <w:rsid w:val="00084394"/>
    <w:rsid w:val="000863B0"/>
    <w:rsid w:val="0008677C"/>
    <w:rsid w:val="00092365"/>
    <w:rsid w:val="00095ED9"/>
    <w:rsid w:val="000A2A30"/>
    <w:rsid w:val="000A4545"/>
    <w:rsid w:val="000A5012"/>
    <w:rsid w:val="000B675A"/>
    <w:rsid w:val="000C5770"/>
    <w:rsid w:val="000F0E5B"/>
    <w:rsid w:val="000F3D9D"/>
    <w:rsid w:val="000F4680"/>
    <w:rsid w:val="000F5718"/>
    <w:rsid w:val="00100A7A"/>
    <w:rsid w:val="00102445"/>
    <w:rsid w:val="001049E4"/>
    <w:rsid w:val="00104BB8"/>
    <w:rsid w:val="001114F1"/>
    <w:rsid w:val="00111528"/>
    <w:rsid w:val="00114016"/>
    <w:rsid w:val="0011572A"/>
    <w:rsid w:val="001178D3"/>
    <w:rsid w:val="00120257"/>
    <w:rsid w:val="001204C1"/>
    <w:rsid w:val="00123CC5"/>
    <w:rsid w:val="00126ECF"/>
    <w:rsid w:val="00127AFF"/>
    <w:rsid w:val="00140C1D"/>
    <w:rsid w:val="001632E4"/>
    <w:rsid w:val="00163AA0"/>
    <w:rsid w:val="00170428"/>
    <w:rsid w:val="001705EF"/>
    <w:rsid w:val="001726BC"/>
    <w:rsid w:val="0018660C"/>
    <w:rsid w:val="001870E7"/>
    <w:rsid w:val="001A54D4"/>
    <w:rsid w:val="001A67AC"/>
    <w:rsid w:val="001B10AF"/>
    <w:rsid w:val="001B646F"/>
    <w:rsid w:val="001F5204"/>
    <w:rsid w:val="001F75BB"/>
    <w:rsid w:val="00201467"/>
    <w:rsid w:val="00204316"/>
    <w:rsid w:val="00206FBA"/>
    <w:rsid w:val="00207019"/>
    <w:rsid w:val="002144B2"/>
    <w:rsid w:val="00221D71"/>
    <w:rsid w:val="0024283F"/>
    <w:rsid w:val="002443B1"/>
    <w:rsid w:val="00250658"/>
    <w:rsid w:val="00256B3A"/>
    <w:rsid w:val="00270C27"/>
    <w:rsid w:val="00275011"/>
    <w:rsid w:val="0027714E"/>
    <w:rsid w:val="00282143"/>
    <w:rsid w:val="00282AFC"/>
    <w:rsid w:val="0028750A"/>
    <w:rsid w:val="00292839"/>
    <w:rsid w:val="002B2EF5"/>
    <w:rsid w:val="002B430A"/>
    <w:rsid w:val="002C4164"/>
    <w:rsid w:val="002C71C9"/>
    <w:rsid w:val="002D21B2"/>
    <w:rsid w:val="002D36E1"/>
    <w:rsid w:val="002D4246"/>
    <w:rsid w:val="002E16BF"/>
    <w:rsid w:val="002E4404"/>
    <w:rsid w:val="0030016D"/>
    <w:rsid w:val="00301295"/>
    <w:rsid w:val="003066BE"/>
    <w:rsid w:val="00312004"/>
    <w:rsid w:val="00313C89"/>
    <w:rsid w:val="003151CE"/>
    <w:rsid w:val="003238F7"/>
    <w:rsid w:val="00325F7C"/>
    <w:rsid w:val="00336E88"/>
    <w:rsid w:val="00347EED"/>
    <w:rsid w:val="0035186C"/>
    <w:rsid w:val="00363A81"/>
    <w:rsid w:val="003756DE"/>
    <w:rsid w:val="00376F25"/>
    <w:rsid w:val="003809DD"/>
    <w:rsid w:val="00384F1E"/>
    <w:rsid w:val="003859E2"/>
    <w:rsid w:val="00391C5A"/>
    <w:rsid w:val="00392113"/>
    <w:rsid w:val="003A6FE5"/>
    <w:rsid w:val="003B6531"/>
    <w:rsid w:val="003C17B8"/>
    <w:rsid w:val="003C4824"/>
    <w:rsid w:val="003D0D66"/>
    <w:rsid w:val="003D593B"/>
    <w:rsid w:val="003E2508"/>
    <w:rsid w:val="003E5105"/>
    <w:rsid w:val="003E5D9A"/>
    <w:rsid w:val="003E76FE"/>
    <w:rsid w:val="003E798D"/>
    <w:rsid w:val="003F2B22"/>
    <w:rsid w:val="00415666"/>
    <w:rsid w:val="00441341"/>
    <w:rsid w:val="004500E2"/>
    <w:rsid w:val="00450E6F"/>
    <w:rsid w:val="004528F3"/>
    <w:rsid w:val="00454C8B"/>
    <w:rsid w:val="00456DCE"/>
    <w:rsid w:val="00457288"/>
    <w:rsid w:val="00460627"/>
    <w:rsid w:val="0046081A"/>
    <w:rsid w:val="004635ED"/>
    <w:rsid w:val="0046535B"/>
    <w:rsid w:val="0046794A"/>
    <w:rsid w:val="00470F27"/>
    <w:rsid w:val="00471532"/>
    <w:rsid w:val="00472EA1"/>
    <w:rsid w:val="00475008"/>
    <w:rsid w:val="0048490E"/>
    <w:rsid w:val="00485EAF"/>
    <w:rsid w:val="00487FC4"/>
    <w:rsid w:val="00495F3D"/>
    <w:rsid w:val="004A7F3B"/>
    <w:rsid w:val="004B0ACE"/>
    <w:rsid w:val="004B1E09"/>
    <w:rsid w:val="004B3F32"/>
    <w:rsid w:val="004B4C48"/>
    <w:rsid w:val="004C7E52"/>
    <w:rsid w:val="004D2DE7"/>
    <w:rsid w:val="004D4492"/>
    <w:rsid w:val="004E313C"/>
    <w:rsid w:val="004E3EE6"/>
    <w:rsid w:val="004E47D3"/>
    <w:rsid w:val="004E55C5"/>
    <w:rsid w:val="004F0BED"/>
    <w:rsid w:val="004F5CE0"/>
    <w:rsid w:val="00500FE3"/>
    <w:rsid w:val="00501083"/>
    <w:rsid w:val="005046D7"/>
    <w:rsid w:val="00510014"/>
    <w:rsid w:val="00510F48"/>
    <w:rsid w:val="005117C7"/>
    <w:rsid w:val="005133A1"/>
    <w:rsid w:val="005163E9"/>
    <w:rsid w:val="00527B52"/>
    <w:rsid w:val="00535E95"/>
    <w:rsid w:val="00536432"/>
    <w:rsid w:val="0053764B"/>
    <w:rsid w:val="00545AFF"/>
    <w:rsid w:val="005479E1"/>
    <w:rsid w:val="00553503"/>
    <w:rsid w:val="00553D04"/>
    <w:rsid w:val="00553E83"/>
    <w:rsid w:val="0055668C"/>
    <w:rsid w:val="005570A8"/>
    <w:rsid w:val="005652B8"/>
    <w:rsid w:val="00567315"/>
    <w:rsid w:val="0056797B"/>
    <w:rsid w:val="005717AD"/>
    <w:rsid w:val="00571A1D"/>
    <w:rsid w:val="00577C93"/>
    <w:rsid w:val="00577F00"/>
    <w:rsid w:val="0058080C"/>
    <w:rsid w:val="00580DB1"/>
    <w:rsid w:val="00581546"/>
    <w:rsid w:val="00586ACA"/>
    <w:rsid w:val="00591CB7"/>
    <w:rsid w:val="00591CF0"/>
    <w:rsid w:val="00593FE9"/>
    <w:rsid w:val="0059612E"/>
    <w:rsid w:val="005B2BEC"/>
    <w:rsid w:val="005C248D"/>
    <w:rsid w:val="005C41C9"/>
    <w:rsid w:val="005D082B"/>
    <w:rsid w:val="005D1C9B"/>
    <w:rsid w:val="005D6E69"/>
    <w:rsid w:val="005D778E"/>
    <w:rsid w:val="005E041F"/>
    <w:rsid w:val="00600FE4"/>
    <w:rsid w:val="0060198E"/>
    <w:rsid w:val="006026B0"/>
    <w:rsid w:val="00603B9B"/>
    <w:rsid w:val="006070A3"/>
    <w:rsid w:val="00623709"/>
    <w:rsid w:val="00627E12"/>
    <w:rsid w:val="0063040F"/>
    <w:rsid w:val="00631DC7"/>
    <w:rsid w:val="00632819"/>
    <w:rsid w:val="00632D78"/>
    <w:rsid w:val="006421DE"/>
    <w:rsid w:val="00650482"/>
    <w:rsid w:val="006535E5"/>
    <w:rsid w:val="00655954"/>
    <w:rsid w:val="0066038E"/>
    <w:rsid w:val="00662416"/>
    <w:rsid w:val="0066750B"/>
    <w:rsid w:val="00670FB9"/>
    <w:rsid w:val="00690CE8"/>
    <w:rsid w:val="00695BAE"/>
    <w:rsid w:val="006A0E6D"/>
    <w:rsid w:val="006A3B7F"/>
    <w:rsid w:val="006A4183"/>
    <w:rsid w:val="006B5106"/>
    <w:rsid w:val="006B6F93"/>
    <w:rsid w:val="006C4C50"/>
    <w:rsid w:val="006D7420"/>
    <w:rsid w:val="006E11AF"/>
    <w:rsid w:val="006E14D4"/>
    <w:rsid w:val="006E45DF"/>
    <w:rsid w:val="00705B8C"/>
    <w:rsid w:val="00710981"/>
    <w:rsid w:val="00716C30"/>
    <w:rsid w:val="00730332"/>
    <w:rsid w:val="007329A3"/>
    <w:rsid w:val="00732DA2"/>
    <w:rsid w:val="007369FA"/>
    <w:rsid w:val="00744C54"/>
    <w:rsid w:val="00746984"/>
    <w:rsid w:val="00751CCF"/>
    <w:rsid w:val="00754732"/>
    <w:rsid w:val="00754CB6"/>
    <w:rsid w:val="007633BC"/>
    <w:rsid w:val="00767F43"/>
    <w:rsid w:val="007705B0"/>
    <w:rsid w:val="0077314E"/>
    <w:rsid w:val="0077435B"/>
    <w:rsid w:val="007772FB"/>
    <w:rsid w:val="0078226D"/>
    <w:rsid w:val="00784F99"/>
    <w:rsid w:val="007879E5"/>
    <w:rsid w:val="0079269C"/>
    <w:rsid w:val="00793486"/>
    <w:rsid w:val="007961BE"/>
    <w:rsid w:val="007A38FE"/>
    <w:rsid w:val="007A458B"/>
    <w:rsid w:val="007A77C1"/>
    <w:rsid w:val="007C7AF7"/>
    <w:rsid w:val="007D107E"/>
    <w:rsid w:val="007D1597"/>
    <w:rsid w:val="007D160E"/>
    <w:rsid w:val="007E3566"/>
    <w:rsid w:val="007E719D"/>
    <w:rsid w:val="007E7A88"/>
    <w:rsid w:val="007E7DFD"/>
    <w:rsid w:val="007F3779"/>
    <w:rsid w:val="007F4E6D"/>
    <w:rsid w:val="007F5867"/>
    <w:rsid w:val="007F7BB7"/>
    <w:rsid w:val="00802E25"/>
    <w:rsid w:val="00803A89"/>
    <w:rsid w:val="008060AD"/>
    <w:rsid w:val="00807071"/>
    <w:rsid w:val="008133DB"/>
    <w:rsid w:val="00814F9E"/>
    <w:rsid w:val="00816833"/>
    <w:rsid w:val="0081755D"/>
    <w:rsid w:val="00817B4A"/>
    <w:rsid w:val="008245CF"/>
    <w:rsid w:val="00824DFE"/>
    <w:rsid w:val="00824E30"/>
    <w:rsid w:val="0082698E"/>
    <w:rsid w:val="00826A01"/>
    <w:rsid w:val="008372A2"/>
    <w:rsid w:val="00841452"/>
    <w:rsid w:val="00842142"/>
    <w:rsid w:val="00844AC7"/>
    <w:rsid w:val="008457FD"/>
    <w:rsid w:val="008503ED"/>
    <w:rsid w:val="00855AE5"/>
    <w:rsid w:val="00856C7D"/>
    <w:rsid w:val="00856DB9"/>
    <w:rsid w:val="008605E2"/>
    <w:rsid w:val="008722A0"/>
    <w:rsid w:val="008755FC"/>
    <w:rsid w:val="00875779"/>
    <w:rsid w:val="00881314"/>
    <w:rsid w:val="008836D3"/>
    <w:rsid w:val="00884C61"/>
    <w:rsid w:val="00892918"/>
    <w:rsid w:val="008A754C"/>
    <w:rsid w:val="008B23CF"/>
    <w:rsid w:val="008B3A91"/>
    <w:rsid w:val="008C2BD3"/>
    <w:rsid w:val="008D6388"/>
    <w:rsid w:val="008E003D"/>
    <w:rsid w:val="008E2C35"/>
    <w:rsid w:val="008E41D2"/>
    <w:rsid w:val="008E7A54"/>
    <w:rsid w:val="008F2DCC"/>
    <w:rsid w:val="008F3224"/>
    <w:rsid w:val="00904936"/>
    <w:rsid w:val="00906CFD"/>
    <w:rsid w:val="00907CBD"/>
    <w:rsid w:val="009150AE"/>
    <w:rsid w:val="009154F6"/>
    <w:rsid w:val="009248B9"/>
    <w:rsid w:val="00924C41"/>
    <w:rsid w:val="009252B7"/>
    <w:rsid w:val="00925F79"/>
    <w:rsid w:val="009341F3"/>
    <w:rsid w:val="009445B1"/>
    <w:rsid w:val="00945474"/>
    <w:rsid w:val="0095643A"/>
    <w:rsid w:val="009607EA"/>
    <w:rsid w:val="00960B90"/>
    <w:rsid w:val="009706C9"/>
    <w:rsid w:val="00970791"/>
    <w:rsid w:val="00970B39"/>
    <w:rsid w:val="00985AA1"/>
    <w:rsid w:val="009942DA"/>
    <w:rsid w:val="009A16EF"/>
    <w:rsid w:val="009A4E66"/>
    <w:rsid w:val="009A64FF"/>
    <w:rsid w:val="009A6BA9"/>
    <w:rsid w:val="009B0691"/>
    <w:rsid w:val="009B3659"/>
    <w:rsid w:val="009B379E"/>
    <w:rsid w:val="009D4745"/>
    <w:rsid w:val="009D54AC"/>
    <w:rsid w:val="009E466F"/>
    <w:rsid w:val="009E5811"/>
    <w:rsid w:val="009E7834"/>
    <w:rsid w:val="009F2030"/>
    <w:rsid w:val="009F3430"/>
    <w:rsid w:val="009F50CD"/>
    <w:rsid w:val="009F5697"/>
    <w:rsid w:val="00A002ED"/>
    <w:rsid w:val="00A0045D"/>
    <w:rsid w:val="00A015B3"/>
    <w:rsid w:val="00A0648C"/>
    <w:rsid w:val="00A11546"/>
    <w:rsid w:val="00A11960"/>
    <w:rsid w:val="00A127E9"/>
    <w:rsid w:val="00A136CA"/>
    <w:rsid w:val="00A13A69"/>
    <w:rsid w:val="00A229A1"/>
    <w:rsid w:val="00A274F4"/>
    <w:rsid w:val="00A36A0E"/>
    <w:rsid w:val="00A41031"/>
    <w:rsid w:val="00A43715"/>
    <w:rsid w:val="00A44FC5"/>
    <w:rsid w:val="00A47447"/>
    <w:rsid w:val="00A53803"/>
    <w:rsid w:val="00A62820"/>
    <w:rsid w:val="00A62E7A"/>
    <w:rsid w:val="00A637E1"/>
    <w:rsid w:val="00A667F1"/>
    <w:rsid w:val="00A66EB8"/>
    <w:rsid w:val="00A73289"/>
    <w:rsid w:val="00A81A3E"/>
    <w:rsid w:val="00A91B15"/>
    <w:rsid w:val="00A97577"/>
    <w:rsid w:val="00A977D1"/>
    <w:rsid w:val="00AB1C41"/>
    <w:rsid w:val="00AB6067"/>
    <w:rsid w:val="00AB7EAA"/>
    <w:rsid w:val="00AC52C2"/>
    <w:rsid w:val="00AE0CBF"/>
    <w:rsid w:val="00AE2FD7"/>
    <w:rsid w:val="00AE7B0F"/>
    <w:rsid w:val="00AF1979"/>
    <w:rsid w:val="00AF372B"/>
    <w:rsid w:val="00AF3CEE"/>
    <w:rsid w:val="00AF7F18"/>
    <w:rsid w:val="00B02283"/>
    <w:rsid w:val="00B20D39"/>
    <w:rsid w:val="00B20E52"/>
    <w:rsid w:val="00B21138"/>
    <w:rsid w:val="00B21FE8"/>
    <w:rsid w:val="00B231C2"/>
    <w:rsid w:val="00B27F99"/>
    <w:rsid w:val="00B31F7C"/>
    <w:rsid w:val="00B44788"/>
    <w:rsid w:val="00B4766C"/>
    <w:rsid w:val="00B50FD3"/>
    <w:rsid w:val="00B51241"/>
    <w:rsid w:val="00B53A8B"/>
    <w:rsid w:val="00B54FB4"/>
    <w:rsid w:val="00B57200"/>
    <w:rsid w:val="00B6047B"/>
    <w:rsid w:val="00B6294B"/>
    <w:rsid w:val="00B6690D"/>
    <w:rsid w:val="00B71821"/>
    <w:rsid w:val="00B72E4C"/>
    <w:rsid w:val="00B73593"/>
    <w:rsid w:val="00B761DB"/>
    <w:rsid w:val="00B83C6E"/>
    <w:rsid w:val="00B84D32"/>
    <w:rsid w:val="00B94C4F"/>
    <w:rsid w:val="00B958C0"/>
    <w:rsid w:val="00B97852"/>
    <w:rsid w:val="00BA398B"/>
    <w:rsid w:val="00BB4CB9"/>
    <w:rsid w:val="00BC46AF"/>
    <w:rsid w:val="00BD3F5C"/>
    <w:rsid w:val="00BD7618"/>
    <w:rsid w:val="00BE12A5"/>
    <w:rsid w:val="00BE281A"/>
    <w:rsid w:val="00BE52E9"/>
    <w:rsid w:val="00BF30D6"/>
    <w:rsid w:val="00C05C15"/>
    <w:rsid w:val="00C16196"/>
    <w:rsid w:val="00C177A8"/>
    <w:rsid w:val="00C266EF"/>
    <w:rsid w:val="00C30F6A"/>
    <w:rsid w:val="00C375FB"/>
    <w:rsid w:val="00C45A14"/>
    <w:rsid w:val="00C45F0D"/>
    <w:rsid w:val="00C54679"/>
    <w:rsid w:val="00C63270"/>
    <w:rsid w:val="00C716CE"/>
    <w:rsid w:val="00C72195"/>
    <w:rsid w:val="00C811A2"/>
    <w:rsid w:val="00C84754"/>
    <w:rsid w:val="00C84C2A"/>
    <w:rsid w:val="00C90ED2"/>
    <w:rsid w:val="00C92920"/>
    <w:rsid w:val="00C961D5"/>
    <w:rsid w:val="00CA515B"/>
    <w:rsid w:val="00CB453D"/>
    <w:rsid w:val="00CB58F0"/>
    <w:rsid w:val="00CB69FE"/>
    <w:rsid w:val="00CB7EC0"/>
    <w:rsid w:val="00CE188D"/>
    <w:rsid w:val="00CE28FC"/>
    <w:rsid w:val="00CE430B"/>
    <w:rsid w:val="00CF20F4"/>
    <w:rsid w:val="00CF29D9"/>
    <w:rsid w:val="00CF353F"/>
    <w:rsid w:val="00CF5A1E"/>
    <w:rsid w:val="00D03613"/>
    <w:rsid w:val="00D05EE7"/>
    <w:rsid w:val="00D14450"/>
    <w:rsid w:val="00D3409F"/>
    <w:rsid w:val="00D417BD"/>
    <w:rsid w:val="00D44C98"/>
    <w:rsid w:val="00D46AA1"/>
    <w:rsid w:val="00D53BC8"/>
    <w:rsid w:val="00D54A7D"/>
    <w:rsid w:val="00D54C8A"/>
    <w:rsid w:val="00D55821"/>
    <w:rsid w:val="00D55A8F"/>
    <w:rsid w:val="00D60E92"/>
    <w:rsid w:val="00D714FF"/>
    <w:rsid w:val="00D727F4"/>
    <w:rsid w:val="00D7683A"/>
    <w:rsid w:val="00D84EEE"/>
    <w:rsid w:val="00DA5229"/>
    <w:rsid w:val="00DA6247"/>
    <w:rsid w:val="00DB37D7"/>
    <w:rsid w:val="00DB421A"/>
    <w:rsid w:val="00DB42AA"/>
    <w:rsid w:val="00DB472E"/>
    <w:rsid w:val="00DB66F8"/>
    <w:rsid w:val="00DB76DD"/>
    <w:rsid w:val="00DC1EE8"/>
    <w:rsid w:val="00DD72DF"/>
    <w:rsid w:val="00DE4097"/>
    <w:rsid w:val="00DE7FA3"/>
    <w:rsid w:val="00DF3514"/>
    <w:rsid w:val="00DF3771"/>
    <w:rsid w:val="00DF3C5D"/>
    <w:rsid w:val="00DF5CCB"/>
    <w:rsid w:val="00E1332E"/>
    <w:rsid w:val="00E1410B"/>
    <w:rsid w:val="00E1693F"/>
    <w:rsid w:val="00E25379"/>
    <w:rsid w:val="00E2549F"/>
    <w:rsid w:val="00E326F4"/>
    <w:rsid w:val="00E354FE"/>
    <w:rsid w:val="00E357EB"/>
    <w:rsid w:val="00E3653C"/>
    <w:rsid w:val="00E40B37"/>
    <w:rsid w:val="00E41503"/>
    <w:rsid w:val="00E46623"/>
    <w:rsid w:val="00E53FFF"/>
    <w:rsid w:val="00E559FA"/>
    <w:rsid w:val="00E63846"/>
    <w:rsid w:val="00E66D5C"/>
    <w:rsid w:val="00E81AF3"/>
    <w:rsid w:val="00E85D1E"/>
    <w:rsid w:val="00E93F17"/>
    <w:rsid w:val="00E966F6"/>
    <w:rsid w:val="00EA3333"/>
    <w:rsid w:val="00EA3469"/>
    <w:rsid w:val="00EA34D2"/>
    <w:rsid w:val="00EA391E"/>
    <w:rsid w:val="00EA4BC5"/>
    <w:rsid w:val="00EA69F2"/>
    <w:rsid w:val="00EA6AA8"/>
    <w:rsid w:val="00EB2C35"/>
    <w:rsid w:val="00EC17D3"/>
    <w:rsid w:val="00EC3A05"/>
    <w:rsid w:val="00EC7200"/>
    <w:rsid w:val="00ED5309"/>
    <w:rsid w:val="00EE4EFD"/>
    <w:rsid w:val="00EF3538"/>
    <w:rsid w:val="00EF4F2C"/>
    <w:rsid w:val="00EF6164"/>
    <w:rsid w:val="00F00089"/>
    <w:rsid w:val="00F0340B"/>
    <w:rsid w:val="00F11018"/>
    <w:rsid w:val="00F12BCC"/>
    <w:rsid w:val="00F14801"/>
    <w:rsid w:val="00F17294"/>
    <w:rsid w:val="00F232D0"/>
    <w:rsid w:val="00F30088"/>
    <w:rsid w:val="00F37564"/>
    <w:rsid w:val="00F43BF8"/>
    <w:rsid w:val="00F47C61"/>
    <w:rsid w:val="00F57BE0"/>
    <w:rsid w:val="00F70F4D"/>
    <w:rsid w:val="00F76D63"/>
    <w:rsid w:val="00F8008F"/>
    <w:rsid w:val="00F80C7A"/>
    <w:rsid w:val="00F8514A"/>
    <w:rsid w:val="00F85151"/>
    <w:rsid w:val="00F87F9C"/>
    <w:rsid w:val="00F95C0B"/>
    <w:rsid w:val="00FA12BC"/>
    <w:rsid w:val="00FA24A6"/>
    <w:rsid w:val="00FA2FCC"/>
    <w:rsid w:val="00FA4843"/>
    <w:rsid w:val="00FA61EC"/>
    <w:rsid w:val="00FC366A"/>
    <w:rsid w:val="00FC6523"/>
    <w:rsid w:val="00FC72F5"/>
    <w:rsid w:val="00FC78C3"/>
    <w:rsid w:val="00FC7BB4"/>
    <w:rsid w:val="00FE5651"/>
    <w:rsid w:val="00FE7587"/>
    <w:rsid w:val="00FF024F"/>
    <w:rsid w:val="00FF7670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589630"/>
  <w15:docId w15:val="{2CE819C0-AB33-475B-8524-D6564894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3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4B2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336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B0ACE"/>
    <w:rPr>
      <w:rFonts w:ascii="Segoe UI" w:hAnsi="Segoe UI" w:cs="Segoe UI"/>
      <w:sz w:val="18"/>
      <w:szCs w:val="18"/>
      <w:lang w:eastAsia="en-US"/>
    </w:rPr>
  </w:style>
  <w:style w:type="character" w:styleId="a7">
    <w:name w:val="Hyperlink"/>
    <w:basedOn w:val="a0"/>
    <w:uiPriority w:val="99"/>
    <w:unhideWhenUsed/>
    <w:rsid w:val="004E47D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07CB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07C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">
    <w:name w:val="Обычный1"/>
    <w:rsid w:val="008E41D2"/>
    <w:rPr>
      <w:rFonts w:ascii="Times New Roman" w:eastAsia="Times New Roman" w:hAnsi="Times New Roman"/>
      <w:sz w:val="28"/>
      <w:lang w:val="uk-UA"/>
    </w:rPr>
  </w:style>
  <w:style w:type="paragraph" w:styleId="aa">
    <w:name w:val="header"/>
    <w:basedOn w:val="a"/>
    <w:link w:val="ab"/>
    <w:uiPriority w:val="99"/>
    <w:unhideWhenUsed/>
    <w:rsid w:val="00C811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C811A2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811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C811A2"/>
    <w:rPr>
      <w:sz w:val="22"/>
      <w:szCs w:val="22"/>
      <w:lang w:eastAsia="en-US"/>
    </w:rPr>
  </w:style>
  <w:style w:type="character" w:customStyle="1" w:styleId="ae">
    <w:name w:val="Текст выноски Знак"/>
    <w:basedOn w:val="a0"/>
    <w:uiPriority w:val="99"/>
    <w:semiHidden/>
    <w:qFormat/>
    <w:rsid w:val="00D55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10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73FBD-6357-4E82-A464-0C2ED452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2244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sergii dzherdzh</cp:lastModifiedBy>
  <cp:revision>12</cp:revision>
  <cp:lastPrinted>2020-01-27T07:30:00Z</cp:lastPrinted>
  <dcterms:created xsi:type="dcterms:W3CDTF">2024-07-19T09:06:00Z</dcterms:created>
  <dcterms:modified xsi:type="dcterms:W3CDTF">2024-07-20T20:15:00Z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2be00bcd29e26155e2f977063274b72f5f2832eaa2956171eb6aa99ab3a7d32e</vt:lpwstr>
  </property>
</Properties>
</file>