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8699" w14:textId="521BA243" w:rsidR="00695BAE" w:rsidRPr="00A43715" w:rsidRDefault="00DE7FA3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ПРОТОКОЛ</w:t>
      </w:r>
      <w:r w:rsidR="00E2549F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№ </w:t>
      </w:r>
      <w:r w:rsidR="009F50CD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6</w:t>
      </w:r>
    </w:p>
    <w:p w14:paraId="76BADAFC" w14:textId="77777777" w:rsidR="00C30F6A" w:rsidRPr="00A43715" w:rsidRDefault="00C30F6A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381F8F7F" w14:textId="77777777" w:rsidR="00123CC5" w:rsidRPr="00A43715" w:rsidRDefault="00F87F9C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засідання </w:t>
      </w:r>
      <w:r w:rsidR="00123CC5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Громадської ради при МЗС України</w:t>
      </w:r>
      <w:r w:rsidR="00282AFC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(далі - ГР)</w:t>
      </w:r>
    </w:p>
    <w:p w14:paraId="2DD0D4FA" w14:textId="595505B1" w:rsidR="00123CC5" w:rsidRPr="00A43715" w:rsidRDefault="00E2549F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5 жовтня </w:t>
      </w:r>
      <w:r w:rsidR="00123CC5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202</w:t>
      </w:r>
      <w:r w:rsidR="00AE7B0F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3</w:t>
      </w:r>
      <w:r w:rsidR="00123CC5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року</w:t>
      </w:r>
      <w:r w:rsidR="0011572A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, </w:t>
      </w:r>
      <w:r w:rsidR="00AE7B0F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офлайн-</w:t>
      </w: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онлайн</w:t>
      </w:r>
      <w:r w:rsidR="00063953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формат</w:t>
      </w:r>
    </w:p>
    <w:p w14:paraId="3F874C7E" w14:textId="77777777" w:rsidR="00063953" w:rsidRDefault="00063953" w:rsidP="00140C1D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448E572A" w14:textId="77777777" w:rsidR="00E2549F" w:rsidRPr="00A43715" w:rsidRDefault="00E2549F" w:rsidP="00140C1D">
      <w:pPr>
        <w:spacing w:after="0"/>
        <w:ind w:firstLine="708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Представники МЗС</w:t>
      </w:r>
      <w:r w:rsidR="006B6F93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України</w:t>
      </w: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:</w:t>
      </w: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</w:p>
    <w:p w14:paraId="1BDB2968" w14:textId="77777777" w:rsidR="00C30F6A" w:rsidRPr="00A43715" w:rsidRDefault="00C30F6A" w:rsidP="00140C1D">
      <w:pPr>
        <w:spacing w:after="0"/>
        <w:ind w:firstLine="709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6004B873" w14:textId="043261B6" w:rsidR="00E2549F" w:rsidRPr="00A43715" w:rsidRDefault="00FA24A6" w:rsidP="00140C1D">
      <w:pPr>
        <w:spacing w:after="0"/>
        <w:ind w:firstLine="709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Іванчук Олен</w:t>
      </w:r>
      <w:r w:rsidR="00140C1D" w:rsidRPr="00A43715">
        <w:rPr>
          <w:rFonts w:ascii="Arial" w:hAnsi="Arial" w:cs="Arial"/>
          <w:color w:val="002060"/>
          <w:sz w:val="24"/>
          <w:szCs w:val="24"/>
          <w:lang w:val="uk-UA"/>
        </w:rPr>
        <w:t>а</w:t>
      </w: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 Михайлівн</w:t>
      </w:r>
      <w:r w:rsidR="00140C1D" w:rsidRPr="00A43715">
        <w:rPr>
          <w:rFonts w:ascii="Arial" w:hAnsi="Arial" w:cs="Arial"/>
          <w:color w:val="002060"/>
          <w:sz w:val="24"/>
          <w:szCs w:val="24"/>
          <w:lang w:val="uk-UA"/>
        </w:rPr>
        <w:t>а</w:t>
      </w: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, </w:t>
      </w:r>
      <w:r w:rsidR="00140C1D" w:rsidRPr="00A43715">
        <w:rPr>
          <w:rFonts w:ascii="Arial" w:hAnsi="Arial" w:cs="Arial"/>
          <w:color w:val="002060"/>
          <w:sz w:val="24"/>
          <w:szCs w:val="24"/>
          <w:lang w:val="uk-UA"/>
        </w:rPr>
        <w:t>Р</w:t>
      </w:r>
      <w:r w:rsidR="00140C1D" w:rsidRPr="00A43715">
        <w:rPr>
          <w:rFonts w:ascii="Arial" w:hAnsi="Arial" w:cs="Arial"/>
          <w:color w:val="002060"/>
          <w:sz w:val="24"/>
          <w:szCs w:val="24"/>
          <w:lang w:val="uk-UA"/>
        </w:rPr>
        <w:t>адни</w:t>
      </w:r>
      <w:r w:rsidR="00140C1D" w:rsidRPr="00A43715">
        <w:rPr>
          <w:rFonts w:ascii="Arial" w:hAnsi="Arial" w:cs="Arial"/>
          <w:color w:val="002060"/>
          <w:sz w:val="24"/>
          <w:szCs w:val="24"/>
          <w:lang w:val="uk-UA"/>
        </w:rPr>
        <w:t>к</w:t>
      </w:r>
      <w:r w:rsidR="00140C1D"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 відділу публічної дипломатії та іміджевих проектів Департаменту публічної дипломатії та комунікацій МЗС</w:t>
      </w:r>
      <w:r w:rsidR="00140C1D"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  <w:r w:rsidR="00140C1D" w:rsidRPr="00A43715">
        <w:rPr>
          <w:rFonts w:ascii="Arial" w:hAnsi="Arial" w:cs="Arial"/>
          <w:color w:val="002060"/>
          <w:sz w:val="24"/>
          <w:szCs w:val="24"/>
          <w:lang w:val="uk-UA"/>
        </w:rPr>
        <w:t>України;</w:t>
      </w:r>
    </w:p>
    <w:p w14:paraId="3024F4A9" w14:textId="42040DB9" w:rsidR="00E2549F" w:rsidRPr="00A43715" w:rsidRDefault="00140C1D" w:rsidP="00140C1D">
      <w:pPr>
        <w:spacing w:after="0"/>
        <w:ind w:firstLine="709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Яценківський Володимир Володимирович, Посол з особливих доручень Департаменту публічної дипломатії та комунікацій МЗС України.</w:t>
      </w:r>
    </w:p>
    <w:p w14:paraId="65DCFEB5" w14:textId="77777777" w:rsidR="00140C1D" w:rsidRPr="00A43715" w:rsidRDefault="00140C1D" w:rsidP="00140C1D">
      <w:pPr>
        <w:spacing w:after="0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14CACBEB" w14:textId="77777777" w:rsidR="00E2549F" w:rsidRPr="00A43715" w:rsidRDefault="00FF024F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Члени </w:t>
      </w:r>
      <w:r w:rsidR="00EC3A05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Громадської ради </w:t>
      </w: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(наказ МЗС </w:t>
      </w:r>
      <w:r w:rsidR="006B6F93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України </w:t>
      </w: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від 02.08.2021 № 325)</w:t>
      </w:r>
      <w:r w:rsidR="000863B0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:</w:t>
      </w:r>
    </w:p>
    <w:p w14:paraId="744A8787" w14:textId="77777777" w:rsidR="00C30F6A" w:rsidRPr="00A43715" w:rsidRDefault="00C30F6A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42FDA5A7" w14:textId="77777777" w:rsidR="00E2549F" w:rsidRPr="00A43715" w:rsidRDefault="00EC3A05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Джердж Сергій </w:t>
      </w:r>
      <w:r w:rsidR="00F85151" w:rsidRPr="00A43715">
        <w:rPr>
          <w:rFonts w:ascii="Arial" w:hAnsi="Arial" w:cs="Arial"/>
          <w:color w:val="002060"/>
          <w:sz w:val="24"/>
          <w:szCs w:val="24"/>
          <w:lang w:val="uk-UA"/>
        </w:rPr>
        <w:t>Федорович</w:t>
      </w:r>
      <w:r w:rsidR="0027714E"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</w:p>
    <w:p w14:paraId="17C8C2C0" w14:textId="77777777" w:rsidR="00856DB9" w:rsidRPr="00A43715" w:rsidRDefault="00856DB9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Жданов Ігор Олександрович</w:t>
      </w:r>
    </w:p>
    <w:p w14:paraId="0BE3F361" w14:textId="579F66F1" w:rsidR="00856DB9" w:rsidRPr="00A43715" w:rsidRDefault="00856DB9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Жовтенко </w:t>
      </w:r>
      <w:r w:rsidR="00FC6523"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  <w:r w:rsidRPr="00A43715">
        <w:rPr>
          <w:rFonts w:ascii="Arial" w:hAnsi="Arial" w:cs="Arial"/>
          <w:color w:val="002060"/>
          <w:sz w:val="24"/>
          <w:szCs w:val="24"/>
          <w:lang w:val="uk-UA"/>
        </w:rPr>
        <w:t>Тарас Григорович</w:t>
      </w:r>
    </w:p>
    <w:p w14:paraId="42FC897C" w14:textId="77777777" w:rsidR="00856DB9" w:rsidRPr="00A43715" w:rsidRDefault="00856DB9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Касянчук Сергій Володимирович</w:t>
      </w:r>
    </w:p>
    <w:p w14:paraId="6D332B31" w14:textId="77777777" w:rsidR="00856DB9" w:rsidRPr="00A43715" w:rsidRDefault="000863B0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Луценко Євгенія Михайлівна </w:t>
      </w:r>
    </w:p>
    <w:p w14:paraId="5F0CEC23" w14:textId="77777777" w:rsidR="00E2549F" w:rsidRPr="00A43715" w:rsidRDefault="00F85151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Матяш Ірина Борисівна</w:t>
      </w:r>
      <w:r w:rsidR="0027714E"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</w:p>
    <w:p w14:paraId="0DCBE5F1" w14:textId="77777777" w:rsidR="00256B3A" w:rsidRPr="00A43715" w:rsidRDefault="0035186C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Пашков Михайло Юрійович </w:t>
      </w:r>
    </w:p>
    <w:p w14:paraId="6240FF41" w14:textId="77777777" w:rsidR="00E2549F" w:rsidRPr="00A43715" w:rsidRDefault="0027714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Свирида Кароліна Василівна </w:t>
      </w:r>
    </w:p>
    <w:p w14:paraId="728D3CFF" w14:textId="77777777" w:rsidR="00256B3A" w:rsidRPr="00A43715" w:rsidRDefault="0027714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Таран Макар Анатолійович </w:t>
      </w:r>
    </w:p>
    <w:p w14:paraId="2F6A016B" w14:textId="77777777" w:rsidR="00E2549F" w:rsidRPr="00A43715" w:rsidRDefault="0035186C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Шевченко Лілія Василівна </w:t>
      </w:r>
    </w:p>
    <w:p w14:paraId="21410687" w14:textId="77777777" w:rsidR="00553D04" w:rsidRPr="00A43715" w:rsidRDefault="00553D04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658A6C2" w14:textId="6544F392" w:rsidR="006E11AF" w:rsidRPr="00A43715" w:rsidRDefault="00E2549F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Порядок </w:t>
      </w:r>
      <w:r w:rsidR="00754732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денний</w:t>
      </w:r>
    </w:p>
    <w:p w14:paraId="54D7F3A7" w14:textId="77777777" w:rsidR="00C30F6A" w:rsidRPr="00A43715" w:rsidRDefault="00C30F6A" w:rsidP="00140C1D">
      <w:pPr>
        <w:spacing w:after="0" w:line="240" w:lineRule="auto"/>
        <w:ind w:firstLine="708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7E661BD2" w14:textId="77777777" w:rsidR="00553D04" w:rsidRPr="00A43715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1. Затвердження порядку денного.  </w:t>
      </w:r>
    </w:p>
    <w:p w14:paraId="2E4633A3" w14:textId="77777777" w:rsidR="00553D04" w:rsidRPr="00A43715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2. Про обрання секретаря ГР при МЗС України.</w:t>
      </w:r>
    </w:p>
    <w:p w14:paraId="5637C0DE" w14:textId="77777777" w:rsidR="00553D04" w:rsidRPr="00A43715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3. Про</w:t>
      </w:r>
      <w:r w:rsidRPr="00A43715">
        <w:rPr>
          <w:rFonts w:ascii="Arial" w:eastAsia="Times New Roman" w:hAnsi="Arial" w:cs="Arial"/>
          <w:color w:val="002060"/>
          <w:sz w:val="24"/>
          <w:szCs w:val="24"/>
          <w:lang w:val="uk-UA" w:eastAsia="uk-UA"/>
        </w:rPr>
        <w:t xml:space="preserve"> рішення Єврокомісії в жовтні 2023 року щодо рекомендації про початок переговорів про вступ України до ЄС.  </w:t>
      </w:r>
    </w:p>
    <w:p w14:paraId="33EED785" w14:textId="77777777" w:rsidR="00553D04" w:rsidRPr="00A43715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4. Про ініціативу громадських та підприємницьких організацій щодо посилення українсько-марокканського співробітництва.</w:t>
      </w:r>
    </w:p>
    <w:p w14:paraId="6CCEDF1B" w14:textId="77777777" w:rsidR="00553D04" w:rsidRPr="00A43715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5. Про підготовку плану роботи на 2024 рік.</w:t>
      </w:r>
    </w:p>
    <w:p w14:paraId="57520E30" w14:textId="77777777" w:rsidR="00553D04" w:rsidRPr="00A43715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6. Про дату наступного засідання.</w:t>
      </w:r>
    </w:p>
    <w:p w14:paraId="765F493C" w14:textId="6570EC3E" w:rsidR="00AE7B0F" w:rsidRPr="00A43715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7. Різне.</w:t>
      </w:r>
    </w:p>
    <w:p w14:paraId="76428B04" w14:textId="77777777" w:rsidR="00AE7B0F" w:rsidRPr="00A43715" w:rsidRDefault="00AE7B0F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920"/>
      </w:tblGrid>
      <w:tr w:rsidR="002D21B2" w:rsidRPr="00A43715" w14:paraId="48C57FCC" w14:textId="77777777" w:rsidTr="00A53803">
        <w:tc>
          <w:tcPr>
            <w:tcW w:w="709" w:type="dxa"/>
          </w:tcPr>
          <w:p w14:paraId="62BDAF0E" w14:textId="77777777" w:rsidR="006B6F93" w:rsidRPr="00A43715" w:rsidRDefault="006B6F93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П.1</w:t>
            </w:r>
          </w:p>
        </w:tc>
        <w:tc>
          <w:tcPr>
            <w:tcW w:w="8920" w:type="dxa"/>
          </w:tcPr>
          <w:p w14:paraId="21F1A552" w14:textId="77777777" w:rsidR="006B6F93" w:rsidRPr="00A43715" w:rsidRDefault="006B6F93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Затвердження порядку денного</w:t>
            </w:r>
          </w:p>
          <w:p w14:paraId="27801B55" w14:textId="77777777" w:rsidR="00C30F6A" w:rsidRPr="00A43715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4E601095" w14:textId="757BBFF5" w:rsidR="006B6F93" w:rsidRPr="00A43715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С.Джердж 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виніс на голосування порядок денний засідання.</w:t>
            </w:r>
          </w:p>
          <w:p w14:paraId="1BA35317" w14:textId="77777777" w:rsidR="00C30F6A" w:rsidRPr="00A43715" w:rsidRDefault="00C30F6A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0D0516C8" w14:textId="38E9384B" w:rsidR="00C30F6A" w:rsidRPr="00A43715" w:rsidRDefault="00C30F6A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Затверд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ити 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порядок денний засідання.</w:t>
            </w:r>
          </w:p>
          <w:p w14:paraId="79733596" w14:textId="77777777" w:rsidR="00C30F6A" w:rsidRPr="00A43715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5668FD25" w14:textId="78A55322" w:rsidR="006B6F93" w:rsidRPr="00A43715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430485F9" w14:textId="24C4F8FE" w:rsidR="006B6F93" w:rsidRPr="00A43715" w:rsidRDefault="006B6F93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</w:t>
            </w:r>
            <w:r w:rsidR="00AE7B0F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; 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«Проти» - 0; «Утрималися» - 0</w:t>
            </w:r>
            <w:r w:rsidR="0055668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14C44631" w14:textId="12C80987" w:rsidR="00C30F6A" w:rsidRPr="00A43715" w:rsidRDefault="00C30F6A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A43715" w14:paraId="23F0A153" w14:textId="77777777" w:rsidTr="00A53803">
        <w:tc>
          <w:tcPr>
            <w:tcW w:w="709" w:type="dxa"/>
          </w:tcPr>
          <w:p w14:paraId="5BC47F36" w14:textId="77777777" w:rsidR="00312004" w:rsidRPr="00A43715" w:rsidRDefault="00312004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lastRenderedPageBreak/>
              <w:t>П.</w:t>
            </w:r>
            <w:r w:rsidR="006B6F93"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8920" w:type="dxa"/>
          </w:tcPr>
          <w:p w14:paraId="1C512D1C" w14:textId="77777777" w:rsidR="00312004" w:rsidRPr="00A43715" w:rsidRDefault="00312004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Про обрання секретаря Г</w:t>
            </w:r>
            <w:r w:rsidR="00282AFC"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Р</w:t>
            </w: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при МЗС України.</w:t>
            </w:r>
          </w:p>
          <w:p w14:paraId="1F5AB26D" w14:textId="77777777" w:rsidR="00C30F6A" w:rsidRPr="00A43715" w:rsidRDefault="00C30F6A" w:rsidP="00140C1D">
            <w:pPr>
              <w:spacing w:after="0"/>
              <w:ind w:firstLine="709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713C53A0" w14:textId="724D6CFA" w:rsidR="00312004" w:rsidRPr="00A43715" w:rsidRDefault="00312004" w:rsidP="00C30F6A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У зв’язку з переведенням </w:t>
            </w:r>
            <w:r w:rsidR="00AE7B0F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Ліннік Руслани Василівни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, як</w:t>
            </w:r>
            <w:r w:rsidR="00140C1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а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виконува</w:t>
            </w:r>
            <w:r w:rsidR="00140C1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ла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обов’язки секретаря Г</w:t>
            </w:r>
            <w:r w:rsidR="00282AF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Р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, до іншого структурного підрозділу МЗС</w:t>
            </w:r>
            <w:r w:rsidR="006B6F93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,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внесено пропозицію </w:t>
            </w:r>
            <w:r w:rsidR="006B6F93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покласти обов’язки 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секретар</w:t>
            </w:r>
            <w:r w:rsidR="006B6F93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6B6F93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на </w:t>
            </w:r>
            <w:r w:rsidR="00AE7B0F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Іванчук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AE7B0F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Оле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ну</w:t>
            </w:r>
            <w:r w:rsidR="00553D04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Михайлівну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, </w:t>
            </w:r>
            <w:r w:rsidR="00C30F6A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р</w:t>
            </w:r>
            <w:r w:rsidR="00140C1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адник</w:t>
            </w:r>
            <w:r w:rsidR="00140C1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а</w:t>
            </w:r>
            <w:r w:rsidR="00140C1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відділу публічної дипломатії та іміджевих проектів Департаменту публічної дипломатії та комунікацій МЗС України;</w:t>
            </w:r>
          </w:p>
          <w:p w14:paraId="1C9BB7AF" w14:textId="77777777" w:rsidR="00C30F6A" w:rsidRPr="00A43715" w:rsidRDefault="00C30F6A" w:rsidP="00C30F6A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5CDE4036" w14:textId="1738823B" w:rsidR="00140C1D" w:rsidRPr="00A43715" w:rsidRDefault="00C30F6A" w:rsidP="00C30F6A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покласти обов’язки секретаря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ГР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на Іванчук Олену Михайлівну, 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р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адника відділу публічної дипломатії та іміджевих проектів Департаменту публічної дипломатії та комунікацій МЗС України;</w:t>
            </w:r>
          </w:p>
          <w:p w14:paraId="1943A8E0" w14:textId="77777777" w:rsidR="00C30F6A" w:rsidRPr="00A43715" w:rsidRDefault="00C30F6A" w:rsidP="00140C1D">
            <w:pPr>
              <w:tabs>
                <w:tab w:val="left" w:pos="709"/>
              </w:tabs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326113C4" w14:textId="6DE8DBC3" w:rsidR="00312004" w:rsidRPr="00A43715" w:rsidRDefault="00312004" w:rsidP="00140C1D">
            <w:pPr>
              <w:tabs>
                <w:tab w:val="left" w:pos="709"/>
              </w:tabs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51401CBF" w14:textId="3390FAEC" w:rsidR="00312004" w:rsidRPr="00A43715" w:rsidRDefault="00312004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</w:t>
            </w:r>
            <w:r w:rsidR="006B6F93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За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» - </w:t>
            </w:r>
            <w:r w:rsidR="00B761DB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одноголосно</w:t>
            </w:r>
            <w:r w:rsidR="006B6F93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«</w:t>
            </w:r>
            <w:r w:rsidR="006B6F93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Проти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» - 0</w:t>
            </w:r>
            <w:r w:rsidR="006B6F93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«</w:t>
            </w:r>
            <w:r w:rsidR="006B6F93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Утрималися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» - 0</w:t>
            </w:r>
            <w:r w:rsidR="0055668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239B9D5C" w14:textId="77777777" w:rsidR="00282AFC" w:rsidRPr="00A43715" w:rsidRDefault="00282AFC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A43715" w14:paraId="19370F5F" w14:textId="77777777" w:rsidTr="00A53803">
        <w:tc>
          <w:tcPr>
            <w:tcW w:w="709" w:type="dxa"/>
          </w:tcPr>
          <w:p w14:paraId="6169AAE4" w14:textId="01991A49" w:rsidR="00312004" w:rsidRPr="00A43715" w:rsidRDefault="00312004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</w:t>
            </w:r>
            <w:r w:rsidR="003E5D9A"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3</w:t>
            </w:r>
          </w:p>
        </w:tc>
        <w:tc>
          <w:tcPr>
            <w:tcW w:w="8920" w:type="dxa"/>
          </w:tcPr>
          <w:p w14:paraId="44DD0954" w14:textId="1275C19F" w:rsidR="00553D04" w:rsidRPr="00A43715" w:rsidRDefault="00553D04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Про рішення Єврокомісії в жовтні 2023 року щодо рекомендації про початок переговорів про вступ України до ЄС.  </w:t>
            </w:r>
          </w:p>
          <w:p w14:paraId="30156DA8" w14:textId="77777777" w:rsidR="00553D04" w:rsidRPr="00A43715" w:rsidRDefault="00553D04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6F064D57" w14:textId="67464180" w:rsidR="00553D04" w:rsidRPr="00A43715" w:rsidRDefault="00553D04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М.Пашков:</w:t>
            </w:r>
            <w:r w:rsid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="00A43715"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надав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пропозицію щодо прийняття Заяви Громадської Ради при МЗС України «Про започаткування переговорів щодо вступу України до ЄС».</w:t>
            </w:r>
          </w:p>
          <w:p w14:paraId="27EAEAE3" w14:textId="55B9BA31" w:rsidR="00553D04" w:rsidRPr="00A43715" w:rsidRDefault="00553D04" w:rsidP="00140C1D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Громадська Рада при МЗС України переконана, що відкриття переговорного процесу про вступ надасть новий імпульс реформам в Україні, стане потужним стимулом опору російській агресії, забезпечить умови для повоєнного відновлення нашої країни за європейськими нормами і стандартами.</w:t>
            </w:r>
          </w:p>
          <w:p w14:paraId="44F09373" w14:textId="77777777" w:rsidR="00140C1D" w:rsidRPr="00A43715" w:rsidRDefault="00140C1D" w:rsidP="00140C1D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1082E8EF" w14:textId="4290B806" w:rsidR="00553D04" w:rsidRPr="00A43715" w:rsidRDefault="00553D04" w:rsidP="00140C1D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="005D778E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прийняти Заяву за основу, доопрацювати та кінцевий варіант опублікувати на сайті МЗС 9 жовтня 2023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</w:p>
          <w:p w14:paraId="7B8889DD" w14:textId="77777777" w:rsidR="00C30F6A" w:rsidRPr="00A43715" w:rsidRDefault="00C30F6A" w:rsidP="00140C1D">
            <w:pPr>
              <w:tabs>
                <w:tab w:val="left" w:pos="709"/>
              </w:tabs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79C29B98" w14:textId="53B2558B" w:rsidR="005D778E" w:rsidRPr="00A43715" w:rsidRDefault="005D778E" w:rsidP="00140C1D">
            <w:pPr>
              <w:tabs>
                <w:tab w:val="left" w:pos="709"/>
              </w:tabs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39D80F87" w14:textId="5BF6F09F" w:rsidR="005D778E" w:rsidRPr="00A43715" w:rsidRDefault="005D778E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</w:t>
            </w:r>
            <w:r w:rsidR="0055668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08A7676A" w14:textId="77777777" w:rsidR="00B761DB" w:rsidRPr="00A43715" w:rsidRDefault="00B761DB" w:rsidP="00140C1D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A43715" w14:paraId="265A7F5F" w14:textId="77777777" w:rsidTr="00A53803">
        <w:tc>
          <w:tcPr>
            <w:tcW w:w="709" w:type="dxa"/>
          </w:tcPr>
          <w:p w14:paraId="4B5F845F" w14:textId="2B80C79C" w:rsidR="005D778E" w:rsidRPr="00A43715" w:rsidRDefault="005D778E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П.4</w:t>
            </w:r>
          </w:p>
        </w:tc>
        <w:tc>
          <w:tcPr>
            <w:tcW w:w="8920" w:type="dxa"/>
          </w:tcPr>
          <w:p w14:paraId="0A5B4F08" w14:textId="77777777" w:rsidR="005D778E" w:rsidRPr="00A43715" w:rsidRDefault="005D778E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Про ініціативу громадських та підприємницьких організацій щодо посилення українсько-марокканського співробітництва.</w:t>
            </w:r>
          </w:p>
          <w:p w14:paraId="6BF3A3A5" w14:textId="77777777" w:rsidR="005D778E" w:rsidRPr="00A43715" w:rsidRDefault="005D778E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025F0CA2" w14:textId="7F60BF3D" w:rsidR="00535E95" w:rsidRPr="00A43715" w:rsidRDefault="005D778E" w:rsidP="00140C1D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С.Джердж: 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ознайомив членів Громадської Ради з</w:t>
            </w:r>
            <w:r w:rsidR="00C716CE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і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C716CE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зверненням до ГР при МЗС України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C716CE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в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іце-президента Марокканської торгової палати в Україні у м. Харкові пана Ахмуза Таріка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C716CE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У зверненні зазначено, що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у травні 2023 року міністр</w:t>
            </w:r>
            <w:r w:rsidR="00535E95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закордонних справ</w:t>
            </w:r>
            <w:r w:rsidR="00C716CE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України</w:t>
            </w:r>
            <w:r w:rsidR="00535E95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C716CE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пан </w:t>
            </w:r>
            <w:r w:rsidR="00535E95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Кулеба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Д</w:t>
            </w:r>
            <w:r w:rsidR="00535E95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І</w:t>
            </w:r>
            <w:r w:rsidR="00535E95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у м. Рабаті провів переговори з міністром закордонних справ, африканської співпраці та у справах іноземних марокканців</w:t>
            </w:r>
            <w:r w:rsidR="00C716CE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паном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Нассером Бурітою.    </w:t>
            </w:r>
          </w:p>
          <w:p w14:paraId="52F56374" w14:textId="77777777" w:rsidR="00C30F6A" w:rsidRPr="00A43715" w:rsidRDefault="00C30F6A" w:rsidP="00140C1D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14CB8925" w14:textId="401DD15B" w:rsidR="00535E95" w:rsidRPr="00A43715" w:rsidRDefault="00535E95" w:rsidP="00140C1D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На розвиток цих домовленостей марокканські та українські підприємці</w:t>
            </w:r>
            <w:r w:rsidR="00C716CE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вийшли з наступними ініціативами: </w:t>
            </w:r>
            <w:r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відкриття у Королівстві Марокко Торгового Дому </w:t>
            </w:r>
            <w:r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lastRenderedPageBreak/>
              <w:t>«</w:t>
            </w:r>
            <w:r w:rsidR="00C716CE"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Україна-</w:t>
            </w:r>
            <w:r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Марокко»; розробити логістичний маршрут вивезення українських зернових до Марокко у теперішній ситуації; підписати меморандум про співпрацю; розглянути пропозиції щодо відкриття в Україні підготовчих курсів для абітурієнтів з Марокко; розглянути пропозицію будівництва в Марокко медичної клініки філіалу МОЗ України «Інститут Серця»</w:t>
            </w:r>
            <w:r w:rsidR="00C30F6A"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.</w:t>
            </w:r>
          </w:p>
          <w:p w14:paraId="78D7D36C" w14:textId="77777777" w:rsidR="00535E95" w:rsidRPr="00A43715" w:rsidRDefault="00535E95" w:rsidP="00140C1D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6E82FD4B" w14:textId="25A38D01" w:rsidR="00535E95" w:rsidRPr="00A43715" w:rsidRDefault="00C716CE" w:rsidP="00140C1D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Члени Громадської ради при МЗС України позитивно оцінили запропоновані  ініціативи</w:t>
            </w:r>
            <w:r w:rsidR="00003994"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, а також відзначили, що держава Королівство Марокко передавала Україні озброєння для захисту від російської агресії, а також входить до Контактної групи з оборони України «формат Рамштайн»</w:t>
            </w:r>
            <w:r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. </w:t>
            </w:r>
          </w:p>
          <w:p w14:paraId="59F22BD2" w14:textId="77777777" w:rsidR="00C716CE" w:rsidRPr="00A43715" w:rsidRDefault="00C716CE" w:rsidP="00140C1D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</w:p>
          <w:p w14:paraId="50F380C8" w14:textId="0B8E7161" w:rsidR="00CE188D" w:rsidRPr="00A43715" w:rsidRDefault="00CE188D" w:rsidP="00140C1D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="00C716CE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підтримати звернення віце-президента Марокканської торгової палати в Україні у м. Харкові пана Ахмуза Таріка та закликати українську сторону</w:t>
            </w:r>
            <w:r w:rsidR="00003994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, зокрема державні та недержавні структури сприяти розвитку економічних та політичних відносин України з </w:t>
            </w:r>
            <w:r w:rsidR="00003994"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Королівством Марокко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</w:p>
          <w:p w14:paraId="1CA5EDDD" w14:textId="77777777" w:rsidR="00C30F6A" w:rsidRPr="00A43715" w:rsidRDefault="00C30F6A" w:rsidP="00140C1D">
            <w:pPr>
              <w:tabs>
                <w:tab w:val="left" w:pos="709"/>
              </w:tabs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2B1C11B4" w14:textId="2AF5395A" w:rsidR="00CE188D" w:rsidRPr="00A43715" w:rsidRDefault="00CE188D" w:rsidP="00140C1D">
            <w:pPr>
              <w:tabs>
                <w:tab w:val="left" w:pos="709"/>
              </w:tabs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578B7617" w14:textId="2B79E924" w:rsidR="00CE188D" w:rsidRPr="00A43715" w:rsidRDefault="00CE188D" w:rsidP="00140C1D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</w:t>
            </w:r>
            <w:r w:rsidR="0055668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2A6601A9" w14:textId="3823F6D7" w:rsidR="009F50CD" w:rsidRPr="00A43715" w:rsidRDefault="009F50CD" w:rsidP="00140C1D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A43715" w14:paraId="1C2B5ED1" w14:textId="77777777" w:rsidTr="00A53803">
        <w:tc>
          <w:tcPr>
            <w:tcW w:w="709" w:type="dxa"/>
          </w:tcPr>
          <w:p w14:paraId="294F0655" w14:textId="77777777" w:rsidR="005D778E" w:rsidRPr="00A43715" w:rsidRDefault="005D778E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lastRenderedPageBreak/>
              <w:t>П.5</w:t>
            </w:r>
          </w:p>
          <w:p w14:paraId="70557C63" w14:textId="3D597240" w:rsidR="00312004" w:rsidRPr="00A43715" w:rsidRDefault="00312004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8920" w:type="dxa"/>
          </w:tcPr>
          <w:p w14:paraId="1A91C9BE" w14:textId="0F06DDDF" w:rsidR="00312004" w:rsidRPr="00A43715" w:rsidRDefault="00312004" w:rsidP="00140C1D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Про підготовку плану роботи на 202</w:t>
            </w:r>
            <w:r w:rsidR="00AE7B0F"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4</w:t>
            </w: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рік</w:t>
            </w:r>
          </w:p>
          <w:p w14:paraId="2DA005BA" w14:textId="77777777" w:rsidR="00C30F6A" w:rsidRPr="00A43715" w:rsidRDefault="00C30F6A" w:rsidP="00140C1D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65F54787" w14:textId="5D17C12B" w:rsidR="00163AA0" w:rsidRPr="00A43715" w:rsidRDefault="00282143" w:rsidP="00140C1D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С.</w:t>
            </w:r>
            <w:r w:rsidR="00A13A69"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Джердж</w:t>
            </w: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: </w:t>
            </w:r>
            <w:r w:rsidR="009150AE"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надав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пропозицію щодо </w:t>
            </w:r>
            <w:r w:rsidR="0010244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формування</w:t>
            </w:r>
            <w:r w:rsidR="00163AA0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член</w:t>
            </w:r>
            <w:r w:rsidR="0010244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ами</w:t>
            </w:r>
            <w:r w:rsidR="00163AA0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ГР Плану </w:t>
            </w:r>
            <w:r w:rsidR="00A13A69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роботи</w:t>
            </w:r>
            <w:r w:rsidR="00163AA0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ГР</w:t>
            </w:r>
            <w:r w:rsidR="00A13A69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на </w:t>
            </w:r>
            <w:r w:rsidR="00163AA0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202</w:t>
            </w:r>
            <w:r w:rsidR="00AE7B0F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4</w:t>
            </w:r>
            <w:r w:rsidR="00A13A69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рік</w:t>
            </w:r>
            <w:r w:rsidR="00163AA0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</w:p>
          <w:p w14:paraId="54EB5E78" w14:textId="77777777" w:rsidR="00140C1D" w:rsidRPr="00A43715" w:rsidRDefault="00140C1D" w:rsidP="00140C1D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0DC5E727" w14:textId="5C557160" w:rsidR="00163AA0" w:rsidRPr="00A43715" w:rsidRDefault="00163AA0" w:rsidP="00140C1D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визначити крайній термін подачі пропозицій 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24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листопада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202</w:t>
            </w:r>
            <w:r w:rsidR="00AE7B0F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3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р., 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 тим, щоб затвердити план роботи на наступному засіданні ГР.</w:t>
            </w:r>
          </w:p>
          <w:p w14:paraId="1E02F3BD" w14:textId="77777777" w:rsidR="00C30F6A" w:rsidRPr="00A43715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78C74EB6" w14:textId="24A30BA8" w:rsidR="00312004" w:rsidRPr="00A43715" w:rsidRDefault="00282AFC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Голосування: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3C458D81" w14:textId="7EF1DAB3" w:rsidR="00A13A69" w:rsidRPr="00A43715" w:rsidRDefault="00282AFC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</w:t>
            </w:r>
            <w:r w:rsidR="0055668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11238ED6" w14:textId="77777777" w:rsidR="00C30F6A" w:rsidRPr="00A43715" w:rsidRDefault="00C30F6A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A43715" w14:paraId="13183541" w14:textId="77777777" w:rsidTr="00A53803">
        <w:tc>
          <w:tcPr>
            <w:tcW w:w="709" w:type="dxa"/>
          </w:tcPr>
          <w:p w14:paraId="409B4100" w14:textId="191423B5" w:rsidR="00AE7B0F" w:rsidRPr="00A43715" w:rsidRDefault="005D778E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П.6</w:t>
            </w:r>
          </w:p>
          <w:p w14:paraId="4A335E98" w14:textId="77777777" w:rsidR="001B646F" w:rsidRPr="00A43715" w:rsidRDefault="001B646F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2FC0CD6E" w14:textId="77777777" w:rsidR="001B646F" w:rsidRPr="00A43715" w:rsidRDefault="001B646F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1295B122" w14:textId="77777777" w:rsidR="001B646F" w:rsidRPr="00A43715" w:rsidRDefault="001B646F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31955D4F" w14:textId="72A75927" w:rsidR="001B646F" w:rsidRPr="00A43715" w:rsidRDefault="001B646F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8920" w:type="dxa"/>
          </w:tcPr>
          <w:p w14:paraId="4A2978F0" w14:textId="1F197DE2" w:rsidR="00312004" w:rsidRPr="00A43715" w:rsidRDefault="00312004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Про дату наступного засідання</w:t>
            </w:r>
          </w:p>
          <w:p w14:paraId="320C79D9" w14:textId="77777777" w:rsidR="00C30F6A" w:rsidRPr="00A43715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341175D7" w14:textId="1AE61308" w:rsidR="00312004" w:rsidRPr="00A43715" w:rsidRDefault="00312004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Внесено пропозицію провести наступне засідання 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у вівторок, 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2</w:t>
            </w:r>
            <w:r w:rsidR="00CE188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8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AE7B0F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листопада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202</w:t>
            </w:r>
            <w:r w:rsidR="00AE7B0F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3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року</w:t>
            </w:r>
            <w:r w:rsidR="00282AF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</w:p>
          <w:p w14:paraId="39134BA2" w14:textId="77777777" w:rsidR="00140C1D" w:rsidRPr="00A43715" w:rsidRDefault="00140C1D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025A2E97" w14:textId="31A243E4" w:rsidR="00140C1D" w:rsidRPr="00A43715" w:rsidRDefault="00140C1D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провести наступне засідання у вівторок, 28 листопада 2023 року. </w:t>
            </w:r>
          </w:p>
          <w:p w14:paraId="7E26059E" w14:textId="77777777" w:rsidR="00C30F6A" w:rsidRPr="00A43715" w:rsidRDefault="00C30F6A" w:rsidP="00140C1D">
            <w:pPr>
              <w:tabs>
                <w:tab w:val="left" w:pos="709"/>
              </w:tabs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1CE28D1A" w14:textId="23AB4FED" w:rsidR="00312004" w:rsidRPr="00A43715" w:rsidRDefault="00312004" w:rsidP="00140C1D">
            <w:pPr>
              <w:tabs>
                <w:tab w:val="left" w:pos="709"/>
              </w:tabs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3A4BE9AD" w14:textId="1F5FEFF4" w:rsidR="00312004" w:rsidRPr="00A43715" w:rsidRDefault="00312004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</w:t>
            </w:r>
            <w:r w:rsidR="00282AF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За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» - </w:t>
            </w:r>
            <w:r w:rsidR="001B646F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одноголосно</w:t>
            </w:r>
            <w:r w:rsidR="00282AF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«</w:t>
            </w:r>
            <w:r w:rsidR="00282AF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Проти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» - 0</w:t>
            </w:r>
            <w:r w:rsidR="00282AF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«</w:t>
            </w:r>
            <w:r w:rsidR="00282AF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Утрималися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» - 0</w:t>
            </w:r>
            <w:r w:rsidR="0055668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4AED77C2" w14:textId="6294E160" w:rsidR="001B646F" w:rsidRPr="00A43715" w:rsidRDefault="001B646F" w:rsidP="00140C1D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A43715" w14:paraId="6DA7B1C2" w14:textId="77777777" w:rsidTr="00A53803">
        <w:tc>
          <w:tcPr>
            <w:tcW w:w="709" w:type="dxa"/>
          </w:tcPr>
          <w:p w14:paraId="4B662994" w14:textId="5E43806C" w:rsidR="005D778E" w:rsidRPr="00A43715" w:rsidRDefault="005D778E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П.7</w:t>
            </w:r>
          </w:p>
          <w:p w14:paraId="2369C015" w14:textId="77777777" w:rsidR="005D778E" w:rsidRPr="00A43715" w:rsidRDefault="005D778E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8920" w:type="dxa"/>
          </w:tcPr>
          <w:p w14:paraId="198F98F5" w14:textId="77777777" w:rsidR="005D778E" w:rsidRPr="00A43715" w:rsidRDefault="005D778E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Різне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43C093E5" w14:textId="77777777" w:rsidR="00C30F6A" w:rsidRPr="00A43715" w:rsidRDefault="00C30F6A" w:rsidP="00140C1D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426DFC61" w14:textId="13B28C64" w:rsidR="004500E2" w:rsidRPr="00A43715" w:rsidRDefault="00003994" w:rsidP="00140C1D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lastRenderedPageBreak/>
              <w:t xml:space="preserve">Л.Шевченко: </w:t>
            </w:r>
            <w:r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зазначила важливість участі </w:t>
            </w:r>
            <w:r w:rsidR="004500E2"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представників</w:t>
            </w:r>
            <w:r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громадських організацій України </w:t>
            </w:r>
            <w:r w:rsidR="00DF3C5D"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у</w:t>
            </w:r>
            <w:r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="004500E2"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міжнародних заходах, зокрема заходах, присвячених правам людини, гендерним питанням</w:t>
            </w:r>
            <w:r w:rsidR="00DF3C5D"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, міжнародному праву.</w:t>
            </w:r>
          </w:p>
          <w:p w14:paraId="7F024DF2" w14:textId="77777777" w:rsidR="00DF3C5D" w:rsidRPr="00A43715" w:rsidRDefault="00DF3C5D" w:rsidP="00140C1D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</w:p>
          <w:p w14:paraId="28FBD91A" w14:textId="3614CB49" w:rsidR="00DF3C5D" w:rsidRPr="00A43715" w:rsidRDefault="00DF3C5D" w:rsidP="00140C1D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Обговорили актуальність цього питання та шляхи залучення фінансування для участі українських громадських представників у міжнародних заходах.</w:t>
            </w:r>
          </w:p>
          <w:p w14:paraId="084F43B1" w14:textId="06994EBA" w:rsidR="00003994" w:rsidRPr="00A43715" w:rsidRDefault="00003994" w:rsidP="00140C1D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6404B2E7" w14:textId="77777777" w:rsidR="005D778E" w:rsidRPr="00A43715" w:rsidRDefault="005D778E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="00DF3C5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закликати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МЗС</w:t>
            </w:r>
            <w:r w:rsidR="00DF3C5D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України та Український інститут сприяти участі </w:t>
            </w:r>
            <w:r w:rsidR="00DF3C5D"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представників громадських організацій України</w:t>
            </w:r>
            <w:r w:rsidR="009F50CD"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у міжнародних заходах для відстоювання позицій, іміджу та престижу України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</w:p>
          <w:p w14:paraId="09A013D0" w14:textId="77777777" w:rsidR="00C30F6A" w:rsidRPr="00A43715" w:rsidRDefault="00C30F6A" w:rsidP="00140C1D">
            <w:pPr>
              <w:tabs>
                <w:tab w:val="left" w:pos="709"/>
              </w:tabs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23502894" w14:textId="4DF6A18A" w:rsidR="009F50CD" w:rsidRPr="00A43715" w:rsidRDefault="009F50CD" w:rsidP="00140C1D">
            <w:pPr>
              <w:tabs>
                <w:tab w:val="left" w:pos="709"/>
              </w:tabs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23635F09" w14:textId="3E851EE9" w:rsidR="009F50CD" w:rsidRPr="00A43715" w:rsidRDefault="009F50CD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</w:t>
            </w:r>
            <w:r w:rsidR="0055668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2AFAAC10" w14:textId="1C3E4240" w:rsidR="009F50CD" w:rsidRPr="00A43715" w:rsidRDefault="009F50CD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</w:tbl>
    <w:p w14:paraId="2D928DE6" w14:textId="7E3C3270" w:rsidR="0078226D" w:rsidRPr="00A43715" w:rsidRDefault="0030016D" w:rsidP="00140C1D">
      <w:pPr>
        <w:pStyle w:val="a3"/>
        <w:ind w:firstLine="709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lastRenderedPageBreak/>
        <w:t xml:space="preserve"> </w:t>
      </w:r>
    </w:p>
    <w:p w14:paraId="65612FBA" w14:textId="77777777" w:rsidR="00C30F6A" w:rsidRPr="00A43715" w:rsidRDefault="00C30F6A" w:rsidP="00140C1D">
      <w:pPr>
        <w:pStyle w:val="a3"/>
        <w:ind w:firstLine="709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71FF200B" w14:textId="77777777" w:rsidR="00C30F6A" w:rsidRDefault="00C30F6A" w:rsidP="00140C1D">
      <w:pPr>
        <w:pStyle w:val="a3"/>
        <w:ind w:firstLine="709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7D43591B" w14:textId="77777777" w:rsidR="00A53803" w:rsidRPr="00A43715" w:rsidRDefault="00A53803" w:rsidP="00140C1D">
      <w:pPr>
        <w:pStyle w:val="a3"/>
        <w:ind w:firstLine="709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544"/>
        <w:gridCol w:w="2404"/>
      </w:tblGrid>
      <w:tr w:rsidR="002D21B2" w:rsidRPr="00A43715" w14:paraId="1FBC0A12" w14:textId="77777777" w:rsidTr="00A53803">
        <w:tc>
          <w:tcPr>
            <w:tcW w:w="3681" w:type="dxa"/>
          </w:tcPr>
          <w:p w14:paraId="17E56B8C" w14:textId="77777777" w:rsidR="00CE188D" w:rsidRPr="00A43715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Голова </w:t>
            </w:r>
          </w:p>
          <w:p w14:paraId="6A5A7975" w14:textId="7C27A4AD" w:rsidR="005D778E" w:rsidRPr="00A43715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Громадської ради </w:t>
            </w:r>
          </w:p>
          <w:p w14:paraId="2BF27398" w14:textId="77777777" w:rsidR="005D778E" w:rsidRPr="00A43715" w:rsidRDefault="005D778E" w:rsidP="00140C1D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B5194C1" w14:textId="338A984E" w:rsidR="005D778E" w:rsidRPr="00A43715" w:rsidRDefault="005D778E" w:rsidP="00C30F6A">
            <w:pPr>
              <w:pStyle w:val="a3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noProof/>
                <w:color w:val="002060"/>
                <w:lang w:val="uk-UA" w:eastAsia="uk-UA"/>
              </w:rPr>
              <w:drawing>
                <wp:inline distT="0" distB="0" distL="0" distR="0" wp14:anchorId="6701AE2B" wp14:editId="1B8F1A15">
                  <wp:extent cx="1600021" cy="883920"/>
                  <wp:effectExtent l="0" t="0" r="635" b="0"/>
                  <wp:docPr id="1" name="Рисунок 1" descr="E:\2005-07-22_00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05-07-22_000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841" cy="949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5943F933" w14:textId="77777777" w:rsidR="005D778E" w:rsidRPr="00A43715" w:rsidRDefault="005D778E" w:rsidP="00140C1D">
            <w:pPr>
              <w:pStyle w:val="a3"/>
              <w:jc w:val="right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Сергій ДЖЕРДЖ </w:t>
            </w:r>
          </w:p>
        </w:tc>
      </w:tr>
      <w:tr w:rsidR="002D21B2" w:rsidRPr="00A43715" w14:paraId="282ED41F" w14:textId="77777777" w:rsidTr="00A53803">
        <w:tc>
          <w:tcPr>
            <w:tcW w:w="3681" w:type="dxa"/>
          </w:tcPr>
          <w:p w14:paraId="720FC275" w14:textId="77777777" w:rsidR="00CE188D" w:rsidRPr="00A43715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Секретар</w:t>
            </w:r>
          </w:p>
          <w:p w14:paraId="62645D47" w14:textId="61A3FEA9" w:rsidR="005D778E" w:rsidRPr="00A43715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Громадської ради</w:t>
            </w:r>
          </w:p>
          <w:p w14:paraId="218E7FC7" w14:textId="77777777" w:rsidR="00C30F6A" w:rsidRPr="00A43715" w:rsidRDefault="00C30F6A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196C434E" w14:textId="77777777" w:rsidR="00C30F6A" w:rsidRPr="00A43715" w:rsidRDefault="00C30F6A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7E35DB24" w14:textId="3641AFAA" w:rsidR="005D778E" w:rsidRPr="00A43715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324EE5C" w14:textId="4746BC5D" w:rsidR="005D778E" w:rsidRPr="00A43715" w:rsidRDefault="005D778E" w:rsidP="00140C1D">
            <w:pPr>
              <w:pStyle w:val="a3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2404" w:type="dxa"/>
          </w:tcPr>
          <w:p w14:paraId="6AD92A0B" w14:textId="7332B5A0" w:rsidR="005D778E" w:rsidRPr="00A43715" w:rsidRDefault="005D778E" w:rsidP="00140C1D">
            <w:pPr>
              <w:pStyle w:val="a3"/>
              <w:jc w:val="right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Олена ІВАНЧУК</w:t>
            </w:r>
          </w:p>
        </w:tc>
      </w:tr>
    </w:tbl>
    <w:p w14:paraId="718C5C8C" w14:textId="77777777" w:rsidR="00312004" w:rsidRPr="00A43715" w:rsidRDefault="00312004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30C759E0" w14:textId="77777777" w:rsidR="00FA2FCC" w:rsidRPr="00A43715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6F19A0AD" w14:textId="77777777" w:rsidR="00FA2FCC" w:rsidRPr="00A43715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4535F1ED" w14:textId="77777777" w:rsidR="00FA2FCC" w:rsidRPr="00A43715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sectPr w:rsidR="00FA2FCC" w:rsidRPr="00A43715" w:rsidSect="00282AFC">
      <w:headerReference w:type="default" r:id="rId9"/>
      <w:pgSz w:w="11906" w:h="16838"/>
      <w:pgMar w:top="993" w:right="850" w:bottom="1701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8E891" w14:textId="77777777" w:rsidR="00AF1979" w:rsidRDefault="00AF1979" w:rsidP="00C811A2">
      <w:pPr>
        <w:spacing w:after="0" w:line="240" w:lineRule="auto"/>
      </w:pPr>
      <w:r>
        <w:separator/>
      </w:r>
    </w:p>
  </w:endnote>
  <w:endnote w:type="continuationSeparator" w:id="0">
    <w:p w14:paraId="5D0C6272" w14:textId="77777777" w:rsidR="00AF1979" w:rsidRDefault="00AF1979" w:rsidP="00C8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snova MFA Cyrillic">
    <w:altName w:val="Arial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7B4DE" w14:textId="77777777" w:rsidR="00AF1979" w:rsidRDefault="00AF1979" w:rsidP="00C811A2">
      <w:pPr>
        <w:spacing w:after="0" w:line="240" w:lineRule="auto"/>
      </w:pPr>
      <w:r>
        <w:separator/>
      </w:r>
    </w:p>
  </w:footnote>
  <w:footnote w:type="continuationSeparator" w:id="0">
    <w:p w14:paraId="25F9E96A" w14:textId="77777777" w:rsidR="00AF1979" w:rsidRDefault="00AF1979" w:rsidP="00C8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03173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95FB963" w14:textId="77777777" w:rsidR="00C811A2" w:rsidRPr="00C811A2" w:rsidRDefault="00C811A2">
        <w:pPr>
          <w:pStyle w:val="aa"/>
          <w:jc w:val="right"/>
          <w:rPr>
            <w:rFonts w:ascii="Times New Roman" w:hAnsi="Times New Roman"/>
            <w:sz w:val="28"/>
            <w:szCs w:val="28"/>
          </w:rPr>
        </w:pPr>
        <w:r w:rsidRPr="00C811A2">
          <w:rPr>
            <w:rFonts w:ascii="Times New Roman" w:hAnsi="Times New Roman"/>
            <w:sz w:val="28"/>
            <w:szCs w:val="28"/>
          </w:rPr>
          <w:fldChar w:fldCharType="begin"/>
        </w:r>
        <w:r w:rsidRPr="00C811A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811A2">
          <w:rPr>
            <w:rFonts w:ascii="Times New Roman" w:hAnsi="Times New Roman"/>
            <w:sz w:val="28"/>
            <w:szCs w:val="28"/>
          </w:rPr>
          <w:fldChar w:fldCharType="separate"/>
        </w:r>
        <w:r w:rsidR="00DB37D7" w:rsidRPr="00DB37D7">
          <w:rPr>
            <w:rFonts w:ascii="Times New Roman" w:hAnsi="Times New Roman"/>
            <w:noProof/>
            <w:sz w:val="28"/>
            <w:szCs w:val="28"/>
            <w:lang w:val="uk-UA"/>
          </w:rPr>
          <w:t>3</w:t>
        </w:r>
        <w:r w:rsidRPr="00C811A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857CFC0" w14:textId="77777777" w:rsidR="00C811A2" w:rsidRDefault="00C811A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1C4"/>
    <w:multiLevelType w:val="hybridMultilevel"/>
    <w:tmpl w:val="1CAEAC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0C0C768">
      <w:start w:val="1"/>
      <w:numFmt w:val="decimal"/>
      <w:lvlText w:val="%2."/>
      <w:lvlJc w:val="left"/>
      <w:pPr>
        <w:ind w:left="1440" w:hanging="360"/>
      </w:pPr>
      <w:rPr>
        <w:rFonts w:ascii="Osnova MFA Cyrillic" w:eastAsia="Calibri" w:hAnsi="Osnova MFA Cyrillic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3022"/>
    <w:multiLevelType w:val="hybridMultilevel"/>
    <w:tmpl w:val="B2086DEE"/>
    <w:lvl w:ilvl="0" w:tplc="22100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144B0E"/>
    <w:multiLevelType w:val="hybridMultilevel"/>
    <w:tmpl w:val="139A66D0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3705C7"/>
    <w:multiLevelType w:val="hybridMultilevel"/>
    <w:tmpl w:val="6BE84572"/>
    <w:lvl w:ilvl="0" w:tplc="7E5C2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7223A8"/>
    <w:multiLevelType w:val="hybridMultilevel"/>
    <w:tmpl w:val="17823290"/>
    <w:lvl w:ilvl="0" w:tplc="986C0CC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49729E"/>
    <w:multiLevelType w:val="hybridMultilevel"/>
    <w:tmpl w:val="EA56A5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6212A"/>
    <w:multiLevelType w:val="hybridMultilevel"/>
    <w:tmpl w:val="A0486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87AE6"/>
    <w:multiLevelType w:val="hybridMultilevel"/>
    <w:tmpl w:val="3E1037B8"/>
    <w:lvl w:ilvl="0" w:tplc="D5E695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442E4"/>
    <w:multiLevelType w:val="hybridMultilevel"/>
    <w:tmpl w:val="D9FAEB7C"/>
    <w:lvl w:ilvl="0" w:tplc="92508138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2B6E5B"/>
    <w:multiLevelType w:val="hybridMultilevel"/>
    <w:tmpl w:val="1EC6E2E8"/>
    <w:lvl w:ilvl="0" w:tplc="857AFA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505C6D"/>
    <w:multiLevelType w:val="hybridMultilevel"/>
    <w:tmpl w:val="0D4A47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00920"/>
    <w:multiLevelType w:val="hybridMultilevel"/>
    <w:tmpl w:val="FC02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E3D0A"/>
    <w:multiLevelType w:val="hybridMultilevel"/>
    <w:tmpl w:val="CB88B58C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E14BB"/>
    <w:multiLevelType w:val="hybridMultilevel"/>
    <w:tmpl w:val="D1AC73B4"/>
    <w:lvl w:ilvl="0" w:tplc="768EA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8413355">
    <w:abstractNumId w:val="13"/>
  </w:num>
  <w:num w:numId="2" w16cid:durableId="897014728">
    <w:abstractNumId w:val="9"/>
  </w:num>
  <w:num w:numId="3" w16cid:durableId="2064401254">
    <w:abstractNumId w:val="8"/>
  </w:num>
  <w:num w:numId="4" w16cid:durableId="383529208">
    <w:abstractNumId w:val="4"/>
  </w:num>
  <w:num w:numId="5" w16cid:durableId="234247392">
    <w:abstractNumId w:val="11"/>
  </w:num>
  <w:num w:numId="6" w16cid:durableId="1276904493">
    <w:abstractNumId w:val="6"/>
  </w:num>
  <w:num w:numId="7" w16cid:durableId="1046367816">
    <w:abstractNumId w:val="10"/>
  </w:num>
  <w:num w:numId="8" w16cid:durableId="972641295">
    <w:abstractNumId w:val="1"/>
  </w:num>
  <w:num w:numId="9" w16cid:durableId="771320960">
    <w:abstractNumId w:val="3"/>
  </w:num>
  <w:num w:numId="10" w16cid:durableId="1771046493">
    <w:abstractNumId w:val="2"/>
  </w:num>
  <w:num w:numId="11" w16cid:durableId="1634946051">
    <w:abstractNumId w:val="12"/>
  </w:num>
  <w:num w:numId="12" w16cid:durableId="1937710197">
    <w:abstractNumId w:val="7"/>
  </w:num>
  <w:num w:numId="13" w16cid:durableId="1343387532">
    <w:abstractNumId w:val="0"/>
  </w:num>
  <w:num w:numId="14" w16cid:durableId="1031688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11"/>
    <w:rsid w:val="00000E71"/>
    <w:rsid w:val="00003994"/>
    <w:rsid w:val="00007BE3"/>
    <w:rsid w:val="00010381"/>
    <w:rsid w:val="00020D4A"/>
    <w:rsid w:val="00025D88"/>
    <w:rsid w:val="00032607"/>
    <w:rsid w:val="000405DA"/>
    <w:rsid w:val="00063953"/>
    <w:rsid w:val="00070C62"/>
    <w:rsid w:val="00073F9C"/>
    <w:rsid w:val="00084394"/>
    <w:rsid w:val="000863B0"/>
    <w:rsid w:val="0008677C"/>
    <w:rsid w:val="00092365"/>
    <w:rsid w:val="00095ED9"/>
    <w:rsid w:val="000A2A30"/>
    <w:rsid w:val="000A4545"/>
    <w:rsid w:val="000A5012"/>
    <w:rsid w:val="000B675A"/>
    <w:rsid w:val="000C5770"/>
    <w:rsid w:val="000F0E5B"/>
    <w:rsid w:val="000F3D9D"/>
    <w:rsid w:val="000F4680"/>
    <w:rsid w:val="000F5718"/>
    <w:rsid w:val="00100A7A"/>
    <w:rsid w:val="00102445"/>
    <w:rsid w:val="001049E4"/>
    <w:rsid w:val="00104BB8"/>
    <w:rsid w:val="001114F1"/>
    <w:rsid w:val="00111528"/>
    <w:rsid w:val="0011572A"/>
    <w:rsid w:val="001178D3"/>
    <w:rsid w:val="00120257"/>
    <w:rsid w:val="001204C1"/>
    <w:rsid w:val="00123CC5"/>
    <w:rsid w:val="00126ECF"/>
    <w:rsid w:val="00127AFF"/>
    <w:rsid w:val="00140C1D"/>
    <w:rsid w:val="001632E4"/>
    <w:rsid w:val="00163AA0"/>
    <w:rsid w:val="00170428"/>
    <w:rsid w:val="001705EF"/>
    <w:rsid w:val="001726BC"/>
    <w:rsid w:val="0018660C"/>
    <w:rsid w:val="001870E7"/>
    <w:rsid w:val="001A54D4"/>
    <w:rsid w:val="001A67AC"/>
    <w:rsid w:val="001B10AF"/>
    <w:rsid w:val="001B646F"/>
    <w:rsid w:val="001F5204"/>
    <w:rsid w:val="001F75BB"/>
    <w:rsid w:val="00201467"/>
    <w:rsid w:val="00204316"/>
    <w:rsid w:val="00206FBA"/>
    <w:rsid w:val="00207019"/>
    <w:rsid w:val="002144B2"/>
    <w:rsid w:val="00221D71"/>
    <w:rsid w:val="0024283F"/>
    <w:rsid w:val="00250658"/>
    <w:rsid w:val="00256B3A"/>
    <w:rsid w:val="00275011"/>
    <w:rsid w:val="0027714E"/>
    <w:rsid w:val="00282143"/>
    <w:rsid w:val="00282AFC"/>
    <w:rsid w:val="0028750A"/>
    <w:rsid w:val="00292839"/>
    <w:rsid w:val="002B2EF5"/>
    <w:rsid w:val="002B430A"/>
    <w:rsid w:val="002C71C9"/>
    <w:rsid w:val="002D21B2"/>
    <w:rsid w:val="002D36E1"/>
    <w:rsid w:val="002D4246"/>
    <w:rsid w:val="002E16BF"/>
    <w:rsid w:val="002E4404"/>
    <w:rsid w:val="0030016D"/>
    <w:rsid w:val="00301295"/>
    <w:rsid w:val="003066BE"/>
    <w:rsid w:val="00312004"/>
    <w:rsid w:val="003151CE"/>
    <w:rsid w:val="003238F7"/>
    <w:rsid w:val="00325F7C"/>
    <w:rsid w:val="00336E88"/>
    <w:rsid w:val="00347EED"/>
    <w:rsid w:val="0035186C"/>
    <w:rsid w:val="003756DE"/>
    <w:rsid w:val="003809DD"/>
    <w:rsid w:val="00384F1E"/>
    <w:rsid w:val="003859E2"/>
    <w:rsid w:val="00392113"/>
    <w:rsid w:val="003A6FE5"/>
    <w:rsid w:val="003B6531"/>
    <w:rsid w:val="003C4824"/>
    <w:rsid w:val="003D0D66"/>
    <w:rsid w:val="003D593B"/>
    <w:rsid w:val="003E2508"/>
    <w:rsid w:val="003E5105"/>
    <w:rsid w:val="003E5D9A"/>
    <w:rsid w:val="003E76FE"/>
    <w:rsid w:val="003E798D"/>
    <w:rsid w:val="003F2B22"/>
    <w:rsid w:val="00415666"/>
    <w:rsid w:val="00441341"/>
    <w:rsid w:val="004500E2"/>
    <w:rsid w:val="00450E6F"/>
    <w:rsid w:val="004528F3"/>
    <w:rsid w:val="00454C8B"/>
    <w:rsid w:val="00456DCE"/>
    <w:rsid w:val="00457288"/>
    <w:rsid w:val="00460627"/>
    <w:rsid w:val="0046081A"/>
    <w:rsid w:val="004635ED"/>
    <w:rsid w:val="0046535B"/>
    <w:rsid w:val="0046794A"/>
    <w:rsid w:val="00470F27"/>
    <w:rsid w:val="00471532"/>
    <w:rsid w:val="00472EA1"/>
    <w:rsid w:val="00485EAF"/>
    <w:rsid w:val="00487FC4"/>
    <w:rsid w:val="00495F3D"/>
    <w:rsid w:val="004A7F3B"/>
    <w:rsid w:val="004B0ACE"/>
    <w:rsid w:val="004B1E09"/>
    <w:rsid w:val="004B3F32"/>
    <w:rsid w:val="004B4C48"/>
    <w:rsid w:val="004C7E52"/>
    <w:rsid w:val="004D2DE7"/>
    <w:rsid w:val="004D4492"/>
    <w:rsid w:val="004E313C"/>
    <w:rsid w:val="004E3EE6"/>
    <w:rsid w:val="004E47D3"/>
    <w:rsid w:val="004E55C5"/>
    <w:rsid w:val="004F0BED"/>
    <w:rsid w:val="004F5CE0"/>
    <w:rsid w:val="00500FE3"/>
    <w:rsid w:val="00501083"/>
    <w:rsid w:val="005046D7"/>
    <w:rsid w:val="00510014"/>
    <w:rsid w:val="00510F48"/>
    <w:rsid w:val="005117C7"/>
    <w:rsid w:val="005133A1"/>
    <w:rsid w:val="005163E9"/>
    <w:rsid w:val="00527B52"/>
    <w:rsid w:val="00535E95"/>
    <w:rsid w:val="00536432"/>
    <w:rsid w:val="0053764B"/>
    <w:rsid w:val="00545AFF"/>
    <w:rsid w:val="005479E1"/>
    <w:rsid w:val="00553503"/>
    <w:rsid w:val="00553D04"/>
    <w:rsid w:val="0055668C"/>
    <w:rsid w:val="005570A8"/>
    <w:rsid w:val="005652B8"/>
    <w:rsid w:val="00567315"/>
    <w:rsid w:val="0056797B"/>
    <w:rsid w:val="005717AD"/>
    <w:rsid w:val="00571A1D"/>
    <w:rsid w:val="00577C93"/>
    <w:rsid w:val="00577F00"/>
    <w:rsid w:val="0058080C"/>
    <w:rsid w:val="00580DB1"/>
    <w:rsid w:val="00581546"/>
    <w:rsid w:val="00586ACA"/>
    <w:rsid w:val="00591CB7"/>
    <w:rsid w:val="00591CF0"/>
    <w:rsid w:val="00593FE9"/>
    <w:rsid w:val="0059612E"/>
    <w:rsid w:val="005B2BEC"/>
    <w:rsid w:val="005C248D"/>
    <w:rsid w:val="005C41C9"/>
    <w:rsid w:val="005D082B"/>
    <w:rsid w:val="005D1C9B"/>
    <w:rsid w:val="005D6E69"/>
    <w:rsid w:val="005D778E"/>
    <w:rsid w:val="005E041F"/>
    <w:rsid w:val="00600FE4"/>
    <w:rsid w:val="0060198E"/>
    <w:rsid w:val="006026B0"/>
    <w:rsid w:val="00603B9B"/>
    <w:rsid w:val="006070A3"/>
    <w:rsid w:val="00623709"/>
    <w:rsid w:val="0063040F"/>
    <w:rsid w:val="00631DC7"/>
    <w:rsid w:val="00632819"/>
    <w:rsid w:val="00632D78"/>
    <w:rsid w:val="00650482"/>
    <w:rsid w:val="006535E5"/>
    <w:rsid w:val="0066038E"/>
    <w:rsid w:val="00662416"/>
    <w:rsid w:val="0066750B"/>
    <w:rsid w:val="00670FB9"/>
    <w:rsid w:val="00690CE8"/>
    <w:rsid w:val="00695BAE"/>
    <w:rsid w:val="006A0E6D"/>
    <w:rsid w:val="006A3B7F"/>
    <w:rsid w:val="006A4183"/>
    <w:rsid w:val="006B5106"/>
    <w:rsid w:val="006B6F93"/>
    <w:rsid w:val="006C4C50"/>
    <w:rsid w:val="006D7420"/>
    <w:rsid w:val="006E11AF"/>
    <w:rsid w:val="006E14D4"/>
    <w:rsid w:val="006E45DF"/>
    <w:rsid w:val="00705B8C"/>
    <w:rsid w:val="00710981"/>
    <w:rsid w:val="00716C30"/>
    <w:rsid w:val="00730332"/>
    <w:rsid w:val="007329A3"/>
    <w:rsid w:val="00732DA2"/>
    <w:rsid w:val="007369FA"/>
    <w:rsid w:val="00744C54"/>
    <w:rsid w:val="00751CCF"/>
    <w:rsid w:val="00754732"/>
    <w:rsid w:val="00754CB6"/>
    <w:rsid w:val="007633BC"/>
    <w:rsid w:val="0077314E"/>
    <w:rsid w:val="0077435B"/>
    <w:rsid w:val="007772FB"/>
    <w:rsid w:val="0078226D"/>
    <w:rsid w:val="00784F99"/>
    <w:rsid w:val="007879E5"/>
    <w:rsid w:val="0079269C"/>
    <w:rsid w:val="00793486"/>
    <w:rsid w:val="007961BE"/>
    <w:rsid w:val="007A38FE"/>
    <w:rsid w:val="007A458B"/>
    <w:rsid w:val="007A77C1"/>
    <w:rsid w:val="007C7AF7"/>
    <w:rsid w:val="007D107E"/>
    <w:rsid w:val="007D1597"/>
    <w:rsid w:val="007D160E"/>
    <w:rsid w:val="007E3566"/>
    <w:rsid w:val="007E719D"/>
    <w:rsid w:val="007E7A88"/>
    <w:rsid w:val="007E7DFD"/>
    <w:rsid w:val="007F3779"/>
    <w:rsid w:val="007F4E6D"/>
    <w:rsid w:val="007F5867"/>
    <w:rsid w:val="007F7BB7"/>
    <w:rsid w:val="00802E25"/>
    <w:rsid w:val="00803A89"/>
    <w:rsid w:val="008060AD"/>
    <w:rsid w:val="00807071"/>
    <w:rsid w:val="008133DB"/>
    <w:rsid w:val="00814F9E"/>
    <w:rsid w:val="00816833"/>
    <w:rsid w:val="0081755D"/>
    <w:rsid w:val="00817B4A"/>
    <w:rsid w:val="008245CF"/>
    <w:rsid w:val="00824DFE"/>
    <w:rsid w:val="00824E30"/>
    <w:rsid w:val="0082698E"/>
    <w:rsid w:val="00826A01"/>
    <w:rsid w:val="00842142"/>
    <w:rsid w:val="00844AC7"/>
    <w:rsid w:val="008457FD"/>
    <w:rsid w:val="008503ED"/>
    <w:rsid w:val="00855AE5"/>
    <w:rsid w:val="00856C7D"/>
    <w:rsid w:val="00856DB9"/>
    <w:rsid w:val="008605E2"/>
    <w:rsid w:val="008722A0"/>
    <w:rsid w:val="008755FC"/>
    <w:rsid w:val="00875779"/>
    <w:rsid w:val="008836D3"/>
    <w:rsid w:val="00884C61"/>
    <w:rsid w:val="00892918"/>
    <w:rsid w:val="008B23CF"/>
    <w:rsid w:val="008B3A91"/>
    <w:rsid w:val="008C2BD3"/>
    <w:rsid w:val="008D6388"/>
    <w:rsid w:val="008E003D"/>
    <w:rsid w:val="008E2C35"/>
    <w:rsid w:val="008E41D2"/>
    <w:rsid w:val="008E7A54"/>
    <w:rsid w:val="008F2DCC"/>
    <w:rsid w:val="008F3224"/>
    <w:rsid w:val="00906CFD"/>
    <w:rsid w:val="00907CBD"/>
    <w:rsid w:val="009150AE"/>
    <w:rsid w:val="009154F6"/>
    <w:rsid w:val="009248B9"/>
    <w:rsid w:val="00924C41"/>
    <w:rsid w:val="009252B7"/>
    <w:rsid w:val="00925F79"/>
    <w:rsid w:val="009341F3"/>
    <w:rsid w:val="009445B1"/>
    <w:rsid w:val="00945474"/>
    <w:rsid w:val="0095643A"/>
    <w:rsid w:val="00960B90"/>
    <w:rsid w:val="009706C9"/>
    <w:rsid w:val="00970791"/>
    <w:rsid w:val="00970B39"/>
    <w:rsid w:val="00985AA1"/>
    <w:rsid w:val="009942DA"/>
    <w:rsid w:val="009A16EF"/>
    <w:rsid w:val="009A4E66"/>
    <w:rsid w:val="009A64FF"/>
    <w:rsid w:val="009A6BA9"/>
    <w:rsid w:val="009B0691"/>
    <w:rsid w:val="009B3659"/>
    <w:rsid w:val="009B379E"/>
    <w:rsid w:val="009D4745"/>
    <w:rsid w:val="009D54AC"/>
    <w:rsid w:val="009E466F"/>
    <w:rsid w:val="009E5811"/>
    <w:rsid w:val="009E7834"/>
    <w:rsid w:val="009F2030"/>
    <w:rsid w:val="009F3430"/>
    <w:rsid w:val="009F50CD"/>
    <w:rsid w:val="009F5697"/>
    <w:rsid w:val="00A002ED"/>
    <w:rsid w:val="00A0045D"/>
    <w:rsid w:val="00A015B3"/>
    <w:rsid w:val="00A0648C"/>
    <w:rsid w:val="00A11546"/>
    <w:rsid w:val="00A11960"/>
    <w:rsid w:val="00A127E9"/>
    <w:rsid w:val="00A136CA"/>
    <w:rsid w:val="00A13A69"/>
    <w:rsid w:val="00A229A1"/>
    <w:rsid w:val="00A274F4"/>
    <w:rsid w:val="00A36A0E"/>
    <w:rsid w:val="00A41031"/>
    <w:rsid w:val="00A43715"/>
    <w:rsid w:val="00A44FC5"/>
    <w:rsid w:val="00A47447"/>
    <w:rsid w:val="00A53803"/>
    <w:rsid w:val="00A62820"/>
    <w:rsid w:val="00A62E7A"/>
    <w:rsid w:val="00A637E1"/>
    <w:rsid w:val="00A667F1"/>
    <w:rsid w:val="00A66EB8"/>
    <w:rsid w:val="00A73289"/>
    <w:rsid w:val="00A81A3E"/>
    <w:rsid w:val="00A91B15"/>
    <w:rsid w:val="00A97577"/>
    <w:rsid w:val="00A977D1"/>
    <w:rsid w:val="00AB1C41"/>
    <w:rsid w:val="00AB6067"/>
    <w:rsid w:val="00AB7EAA"/>
    <w:rsid w:val="00AC52C2"/>
    <w:rsid w:val="00AE2FD7"/>
    <w:rsid w:val="00AE7B0F"/>
    <w:rsid w:val="00AF1979"/>
    <w:rsid w:val="00AF372B"/>
    <w:rsid w:val="00AF3CEE"/>
    <w:rsid w:val="00AF7F18"/>
    <w:rsid w:val="00B02283"/>
    <w:rsid w:val="00B20D39"/>
    <w:rsid w:val="00B20E52"/>
    <w:rsid w:val="00B21138"/>
    <w:rsid w:val="00B21FE8"/>
    <w:rsid w:val="00B231C2"/>
    <w:rsid w:val="00B27F99"/>
    <w:rsid w:val="00B44788"/>
    <w:rsid w:val="00B4766C"/>
    <w:rsid w:val="00B50FD3"/>
    <w:rsid w:val="00B51241"/>
    <w:rsid w:val="00B53A8B"/>
    <w:rsid w:val="00B54FB4"/>
    <w:rsid w:val="00B57200"/>
    <w:rsid w:val="00B6047B"/>
    <w:rsid w:val="00B6294B"/>
    <w:rsid w:val="00B6690D"/>
    <w:rsid w:val="00B71821"/>
    <w:rsid w:val="00B72E4C"/>
    <w:rsid w:val="00B73593"/>
    <w:rsid w:val="00B761DB"/>
    <w:rsid w:val="00B83C6E"/>
    <w:rsid w:val="00B84D32"/>
    <w:rsid w:val="00B94C4F"/>
    <w:rsid w:val="00B958C0"/>
    <w:rsid w:val="00B97852"/>
    <w:rsid w:val="00BA398B"/>
    <w:rsid w:val="00BB4CB9"/>
    <w:rsid w:val="00BC46AF"/>
    <w:rsid w:val="00BD3F5C"/>
    <w:rsid w:val="00BD7618"/>
    <w:rsid w:val="00BE12A5"/>
    <w:rsid w:val="00BE52E9"/>
    <w:rsid w:val="00BF30D6"/>
    <w:rsid w:val="00C05C15"/>
    <w:rsid w:val="00C16196"/>
    <w:rsid w:val="00C177A8"/>
    <w:rsid w:val="00C30F6A"/>
    <w:rsid w:val="00C45A14"/>
    <w:rsid w:val="00C45F0D"/>
    <w:rsid w:val="00C54679"/>
    <w:rsid w:val="00C63270"/>
    <w:rsid w:val="00C716CE"/>
    <w:rsid w:val="00C72195"/>
    <w:rsid w:val="00C811A2"/>
    <w:rsid w:val="00C84C2A"/>
    <w:rsid w:val="00C90ED2"/>
    <w:rsid w:val="00C92920"/>
    <w:rsid w:val="00C961D5"/>
    <w:rsid w:val="00CA515B"/>
    <w:rsid w:val="00CB453D"/>
    <w:rsid w:val="00CB58F0"/>
    <w:rsid w:val="00CB69FE"/>
    <w:rsid w:val="00CB7EC0"/>
    <w:rsid w:val="00CE188D"/>
    <w:rsid w:val="00CE28FC"/>
    <w:rsid w:val="00CE430B"/>
    <w:rsid w:val="00CF20F4"/>
    <w:rsid w:val="00CF29D9"/>
    <w:rsid w:val="00CF353F"/>
    <w:rsid w:val="00CF5A1E"/>
    <w:rsid w:val="00D03613"/>
    <w:rsid w:val="00D05EE7"/>
    <w:rsid w:val="00D14450"/>
    <w:rsid w:val="00D3409F"/>
    <w:rsid w:val="00D417BD"/>
    <w:rsid w:val="00D44C98"/>
    <w:rsid w:val="00D46AA1"/>
    <w:rsid w:val="00D53BC8"/>
    <w:rsid w:val="00D54A7D"/>
    <w:rsid w:val="00D54C8A"/>
    <w:rsid w:val="00D55A8F"/>
    <w:rsid w:val="00D60E92"/>
    <w:rsid w:val="00D714FF"/>
    <w:rsid w:val="00D727F4"/>
    <w:rsid w:val="00D7683A"/>
    <w:rsid w:val="00D84EEE"/>
    <w:rsid w:val="00DA5229"/>
    <w:rsid w:val="00DA6247"/>
    <w:rsid w:val="00DB37D7"/>
    <w:rsid w:val="00DB421A"/>
    <w:rsid w:val="00DB42AA"/>
    <w:rsid w:val="00DB472E"/>
    <w:rsid w:val="00DB66F8"/>
    <w:rsid w:val="00DB76DD"/>
    <w:rsid w:val="00DC1EE8"/>
    <w:rsid w:val="00DD72DF"/>
    <w:rsid w:val="00DE4097"/>
    <w:rsid w:val="00DE7FA3"/>
    <w:rsid w:val="00DF3514"/>
    <w:rsid w:val="00DF3771"/>
    <w:rsid w:val="00DF3C5D"/>
    <w:rsid w:val="00DF5CCB"/>
    <w:rsid w:val="00E1332E"/>
    <w:rsid w:val="00E1410B"/>
    <w:rsid w:val="00E1693F"/>
    <w:rsid w:val="00E25379"/>
    <w:rsid w:val="00E2549F"/>
    <w:rsid w:val="00E326F4"/>
    <w:rsid w:val="00E354FE"/>
    <w:rsid w:val="00E357EB"/>
    <w:rsid w:val="00E3653C"/>
    <w:rsid w:val="00E40B37"/>
    <w:rsid w:val="00E41503"/>
    <w:rsid w:val="00E46623"/>
    <w:rsid w:val="00E53FFF"/>
    <w:rsid w:val="00E559FA"/>
    <w:rsid w:val="00E66D5C"/>
    <w:rsid w:val="00E81AF3"/>
    <w:rsid w:val="00E85D1E"/>
    <w:rsid w:val="00E93F17"/>
    <w:rsid w:val="00E966F6"/>
    <w:rsid w:val="00EA3333"/>
    <w:rsid w:val="00EA3469"/>
    <w:rsid w:val="00EA34D2"/>
    <w:rsid w:val="00EA391E"/>
    <w:rsid w:val="00EA4BC5"/>
    <w:rsid w:val="00EA69F2"/>
    <w:rsid w:val="00EA6AA8"/>
    <w:rsid w:val="00EB2C35"/>
    <w:rsid w:val="00EC17D3"/>
    <w:rsid w:val="00EC3A05"/>
    <w:rsid w:val="00EC7200"/>
    <w:rsid w:val="00ED5309"/>
    <w:rsid w:val="00EE4EFD"/>
    <w:rsid w:val="00EF3538"/>
    <w:rsid w:val="00EF6164"/>
    <w:rsid w:val="00F00089"/>
    <w:rsid w:val="00F0340B"/>
    <w:rsid w:val="00F12BCC"/>
    <w:rsid w:val="00F14801"/>
    <w:rsid w:val="00F17294"/>
    <w:rsid w:val="00F232D0"/>
    <w:rsid w:val="00F37564"/>
    <w:rsid w:val="00F43BF8"/>
    <w:rsid w:val="00F47C61"/>
    <w:rsid w:val="00F57BE0"/>
    <w:rsid w:val="00F76D63"/>
    <w:rsid w:val="00F8008F"/>
    <w:rsid w:val="00F80C7A"/>
    <w:rsid w:val="00F8514A"/>
    <w:rsid w:val="00F85151"/>
    <w:rsid w:val="00F87F9C"/>
    <w:rsid w:val="00F95C0B"/>
    <w:rsid w:val="00FA12BC"/>
    <w:rsid w:val="00FA24A6"/>
    <w:rsid w:val="00FA2FCC"/>
    <w:rsid w:val="00FA4843"/>
    <w:rsid w:val="00FA61EC"/>
    <w:rsid w:val="00FC366A"/>
    <w:rsid w:val="00FC6523"/>
    <w:rsid w:val="00FC72F5"/>
    <w:rsid w:val="00FC78C3"/>
    <w:rsid w:val="00FC7BB4"/>
    <w:rsid w:val="00FE5651"/>
    <w:rsid w:val="00FE7587"/>
    <w:rsid w:val="00FF024F"/>
    <w:rsid w:val="00FF767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89630"/>
  <w15:docId w15:val="{86B6E5EE-3BEB-4204-875B-455BE103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4B2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336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0ACE"/>
    <w:rPr>
      <w:rFonts w:ascii="Segoe UI" w:hAnsi="Segoe UI" w:cs="Segoe UI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4E47D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7CB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07C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Обычный1"/>
    <w:rsid w:val="008E41D2"/>
    <w:rPr>
      <w:rFonts w:ascii="Times New Roman" w:eastAsia="Times New Roman" w:hAnsi="Times New Roman"/>
      <w:sz w:val="28"/>
      <w:lang w:val="uk-UA"/>
    </w:rPr>
  </w:style>
  <w:style w:type="paragraph" w:styleId="aa">
    <w:name w:val="header"/>
    <w:basedOn w:val="a"/>
    <w:link w:val="ab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811A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C811A2"/>
    <w:rPr>
      <w:sz w:val="22"/>
      <w:szCs w:val="22"/>
      <w:lang w:eastAsia="en-US"/>
    </w:rPr>
  </w:style>
  <w:style w:type="character" w:customStyle="1" w:styleId="ae">
    <w:name w:val="Текст выноски Знак"/>
    <w:basedOn w:val="a0"/>
    <w:uiPriority w:val="99"/>
    <w:semiHidden/>
    <w:qFormat/>
    <w:rsid w:val="00D55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10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3FBD-6357-4E82-A464-0C2ED452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3614</Words>
  <Characters>2061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sergii dzherdzh</cp:lastModifiedBy>
  <cp:revision>14</cp:revision>
  <cp:lastPrinted>2020-01-27T07:30:00Z</cp:lastPrinted>
  <dcterms:created xsi:type="dcterms:W3CDTF">2023-10-03T05:43:00Z</dcterms:created>
  <dcterms:modified xsi:type="dcterms:W3CDTF">2023-10-09T12:25:00Z</dcterms:modified>
</cp:coreProperties>
</file>