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41227A37" w:rsidR="007105A4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  <w:lang w:val="en-US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E34230">
        <w:rPr>
          <w:rFonts w:ascii="Osnova MFA Cyrillic" w:hAnsi="Osnova MFA Cyrillic" w:cs="Times New Roman"/>
          <w:b/>
          <w:bCs/>
          <w:lang w:eastAsia="uk-UA"/>
        </w:rPr>
        <w:t>Попова Максима Миколайовича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E34230">
        <w:rPr>
          <w:rFonts w:ascii="Osnova MFA Cyrillic" w:hAnsi="Osnova MFA Cyrillic" w:cs="Times New Roman"/>
          <w:bCs/>
          <w:lang w:eastAsia="uk-UA"/>
        </w:rPr>
        <w:t>першого секретаря (ОЗХЗ)</w:t>
      </w:r>
      <w:r>
        <w:rPr>
          <w:rFonts w:ascii="Osnova MFA Cyrillic" w:hAnsi="Osnova MFA Cyrillic" w:cs="Times New Roman"/>
          <w:bCs/>
          <w:lang w:eastAsia="uk-UA"/>
        </w:rPr>
        <w:t xml:space="preserve"> 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Cs/>
          <w:lang w:eastAsia="uk-UA"/>
        </w:rPr>
        <w:t>Королівстві Нідерланди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D45BA2">
        <w:rPr>
          <w:rFonts w:ascii="Osnova MFA Cyrillic" w:hAnsi="Osnova MFA Cyrillic" w:cs="Times New Roman"/>
          <w:b/>
          <w:lang w:eastAsia="uk-UA"/>
        </w:rPr>
        <w:t>4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11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1E58D7"/>
    <w:rsid w:val="002C7B63"/>
    <w:rsid w:val="003A4FBE"/>
    <w:rsid w:val="0041054B"/>
    <w:rsid w:val="004844D7"/>
    <w:rsid w:val="005310E5"/>
    <w:rsid w:val="0055791A"/>
    <w:rsid w:val="0057235C"/>
    <w:rsid w:val="0068058B"/>
    <w:rsid w:val="007105A4"/>
    <w:rsid w:val="007B7ED4"/>
    <w:rsid w:val="00857B68"/>
    <w:rsid w:val="00870DBE"/>
    <w:rsid w:val="008A4889"/>
    <w:rsid w:val="008B1D04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891</Characters>
  <Application>Microsoft Office Word</Application>
  <DocSecurity>0</DocSecurity>
  <Lines>74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3</cp:revision>
  <dcterms:created xsi:type="dcterms:W3CDTF">2025-11-26T08:36:00Z</dcterms:created>
  <dcterms:modified xsi:type="dcterms:W3CDTF">2025-11-26T08:37:00Z</dcterms:modified>
</cp:coreProperties>
</file>