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477C" w14:textId="71781255" w:rsidR="00996166" w:rsidRPr="00504482" w:rsidRDefault="00E908C9" w:rsidP="00E908C9">
      <w:pPr>
        <w:jc w:val="center"/>
        <w:rPr>
          <w:rFonts w:ascii="Osnova MFA Cyrillic" w:hAnsi="Osnova MFA Cyrillic"/>
          <w:b/>
          <w:bCs/>
          <w:sz w:val="24"/>
          <w:szCs w:val="24"/>
        </w:rPr>
      </w:pPr>
      <w:r w:rsidRPr="00504482">
        <w:rPr>
          <w:rFonts w:ascii="Osnova MFA Cyrillic" w:hAnsi="Osnova MFA Cyrillic"/>
          <w:b/>
          <w:bCs/>
          <w:sz w:val="24"/>
          <w:szCs w:val="24"/>
        </w:rPr>
        <w:t>Список українських об’єктів культурної спадщини, яким з боку ЮНЕСКО надано тимчасовий посилений захист у рамках Гаазької конвенції 1954 року про захист культурних цінностей у випадку збройного конфлікту та Другого протоколу 1999 року до неї:</w:t>
      </w:r>
    </w:p>
    <w:p w14:paraId="154DC640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«Собор Святої Софії та прилеглі монастирські споруди, Києво-Печерська Лавра», </w:t>
      </w:r>
    </w:p>
    <w:p w14:paraId="242DBEB2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«Львів - Ансамбль історичного центру», </w:t>
      </w:r>
    </w:p>
    <w:p w14:paraId="1351F48A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«Дерев’яні церкви карпатського регіону. Ясінянська церква Вознесіння Господнього», </w:t>
      </w:r>
    </w:p>
    <w:p w14:paraId="6A73C9CB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«Дерев’яні церкви карпатського регіону. Жовківська церква Пресвятої Трійці», </w:t>
      </w:r>
    </w:p>
    <w:p w14:paraId="37CF12DD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«Дерев’яні церкви карпатського регіону. Матківська церква Введення в храм Пресвятої Богородиці», </w:t>
      </w:r>
    </w:p>
    <w:p w14:paraId="5475C7AA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«Дерев’яні церкви карпатського регіону. Нижньовербізька церква Різдва Пресвятої Богородиці», </w:t>
      </w:r>
    </w:p>
    <w:p w14:paraId="284E6A85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«Дерев’яні церкви карпатського регіону. Потелицька церква Зіслання Святого Духа», </w:t>
      </w:r>
    </w:p>
    <w:p w14:paraId="0515DCEC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«Дерев’яні церкви карпатського регіону. Рогатин – церква Зіслання Святого Духа», </w:t>
      </w:r>
    </w:p>
    <w:p w14:paraId="49796355" w14:textId="14CB9216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Резиденція Буковинських і Далматинських митрополитів</w:t>
      </w:r>
      <w:r w:rsidR="009B49D0" w:rsidRPr="00504482">
        <w:rPr>
          <w:rFonts w:ascii="Osnova MFA Cyrillic" w:hAnsi="Osnova MFA Cyrillic"/>
          <w:sz w:val="24"/>
          <w:szCs w:val="24"/>
        </w:rPr>
        <w:t xml:space="preserve"> (м. Чернівці)</w:t>
      </w:r>
      <w:r w:rsidRPr="00504482">
        <w:rPr>
          <w:rFonts w:ascii="Osnova MFA Cyrillic" w:hAnsi="Osnova MFA Cyrillic"/>
          <w:sz w:val="24"/>
          <w:szCs w:val="24"/>
        </w:rPr>
        <w:t xml:space="preserve">, </w:t>
      </w:r>
    </w:p>
    <w:p w14:paraId="7D21F42B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«Геодезична дуга Струве – Катеринівка», </w:t>
      </w:r>
    </w:p>
    <w:p w14:paraId="2DBE54C8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«Геодезична дуга Струве – Баранівка»,</w:t>
      </w:r>
    </w:p>
    <w:p w14:paraId="6E7ADB17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 «Геодезична дуга Струве – Фельштин», </w:t>
      </w:r>
    </w:p>
    <w:p w14:paraId="342D4ABD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«Геодезична дуга Струве – Старо-Некрасівка», </w:t>
      </w:r>
    </w:p>
    <w:p w14:paraId="2F9B7272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Астрономічна обсерваторія Київського національного університету, </w:t>
      </w:r>
    </w:p>
    <w:p w14:paraId="5F5F4C7B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Культурний ландшафт каньйону в Кам’янці-Подільському, </w:t>
      </w:r>
    </w:p>
    <w:p w14:paraId="0F302B69" w14:textId="37816C58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Дендрологічний парк “Софіївка”</w:t>
      </w:r>
      <w:r w:rsidR="009B49D0" w:rsidRPr="00504482">
        <w:rPr>
          <w:rFonts w:ascii="Osnova MFA Cyrillic" w:hAnsi="Osnova MFA Cyrillic"/>
          <w:sz w:val="24"/>
          <w:szCs w:val="24"/>
        </w:rPr>
        <w:t xml:space="preserve"> (м. Умань)</w:t>
      </w:r>
      <w:r w:rsidRPr="00504482">
        <w:rPr>
          <w:rFonts w:ascii="Osnova MFA Cyrillic" w:hAnsi="Osnova MFA Cyrillic"/>
          <w:sz w:val="24"/>
          <w:szCs w:val="24"/>
        </w:rPr>
        <w:t xml:space="preserve">, </w:t>
      </w:r>
    </w:p>
    <w:p w14:paraId="01733C82" w14:textId="2D85F9BA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Держпром (будівля Державної промисловості)</w:t>
      </w:r>
      <w:r w:rsidR="009B49D0" w:rsidRPr="00504482">
        <w:rPr>
          <w:rFonts w:ascii="Osnova MFA Cyrillic" w:hAnsi="Osnova MFA Cyrillic"/>
          <w:sz w:val="24"/>
          <w:szCs w:val="24"/>
        </w:rPr>
        <w:t xml:space="preserve"> (м. Харків)</w:t>
      </w:r>
      <w:r w:rsidRPr="00504482">
        <w:rPr>
          <w:rFonts w:ascii="Osnova MFA Cyrillic" w:hAnsi="Osnova MFA Cyrillic"/>
          <w:sz w:val="24"/>
          <w:szCs w:val="24"/>
        </w:rPr>
        <w:t xml:space="preserve">, </w:t>
      </w:r>
    </w:p>
    <w:p w14:paraId="23132140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«Науково-дослідний інститут (НДІ), Астрономічна обсерваторія Одеського національного університету», </w:t>
      </w:r>
    </w:p>
    <w:p w14:paraId="149EF622" w14:textId="77777777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«Науково-дослідний інститут (НДІ) Миколаївська астрономічна обсерваторія», </w:t>
      </w:r>
    </w:p>
    <w:p w14:paraId="120FDE02" w14:textId="740CF160" w:rsidR="00D50A37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Могила Тараса Шевченка та Державний історико-природничий музей-заповідник</w:t>
      </w:r>
      <w:r w:rsidR="009B49D0" w:rsidRPr="00504482">
        <w:rPr>
          <w:rFonts w:ascii="Osnova MFA Cyrillic" w:hAnsi="Osnova MFA Cyrillic"/>
          <w:sz w:val="24"/>
          <w:szCs w:val="24"/>
        </w:rPr>
        <w:t xml:space="preserve"> (м. Канів)</w:t>
      </w:r>
      <w:r w:rsidRPr="00504482">
        <w:rPr>
          <w:rFonts w:ascii="Osnova MFA Cyrillic" w:hAnsi="Osnova MFA Cyrillic"/>
          <w:sz w:val="24"/>
          <w:szCs w:val="24"/>
        </w:rPr>
        <w:t>,</w:t>
      </w:r>
    </w:p>
    <w:p w14:paraId="55A2F9E1" w14:textId="6B97EA99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Дерев’яні церкви Карпатського регіону. Церква Архангела Михаїла, Ужок, Закарпатська обл.;</w:t>
      </w:r>
    </w:p>
    <w:p w14:paraId="685907C6" w14:textId="7F869C5A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Дерев’яні церкви Карпатського регіону. Дерев’яна церква Св. Юра, Дрогобич, Львівська обл.;</w:t>
      </w:r>
    </w:p>
    <w:p w14:paraId="3A8C2B5E" w14:textId="49C4DDD9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Будівля Одеського Національного академічного театру опери та балету;</w:t>
      </w:r>
    </w:p>
    <w:p w14:paraId="2E689954" w14:textId="5D10DA7D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Будівля Одеської обласної філармонії імені Давида Ойстраха;</w:t>
      </w:r>
    </w:p>
    <w:p w14:paraId="37E15FBD" w14:textId="13AC71EA" w:rsidR="00996166" w:rsidRPr="00504482" w:rsidRDefault="00996166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Спасо-Преображенський собор міста Чернігів</w:t>
      </w:r>
      <w:r w:rsidR="007A1F53" w:rsidRPr="00504482">
        <w:rPr>
          <w:rFonts w:ascii="Osnova MFA Cyrillic" w:hAnsi="Osnova MFA Cyrillic"/>
          <w:sz w:val="24"/>
          <w:szCs w:val="24"/>
        </w:rPr>
        <w:t>;</w:t>
      </w:r>
    </w:p>
    <w:p w14:paraId="234F34A0" w14:textId="49474251" w:rsidR="007A1F53" w:rsidRPr="00504482" w:rsidRDefault="007A1F53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Національний історико-меморіальний заповідник «Бабин Яр»;</w:t>
      </w:r>
    </w:p>
    <w:p w14:paraId="0B65BD61" w14:textId="77F095DD" w:rsidR="007A1F53" w:rsidRPr="00504482" w:rsidRDefault="007A1F53" w:rsidP="00996166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Одеський літературний музей</w:t>
      </w:r>
      <w:r w:rsidR="00504482" w:rsidRPr="00504482">
        <w:rPr>
          <w:rFonts w:ascii="Osnova MFA Cyrillic" w:hAnsi="Osnova MFA Cyrillic"/>
          <w:sz w:val="24"/>
          <w:szCs w:val="24"/>
        </w:rPr>
        <w:t>;</w:t>
      </w:r>
    </w:p>
    <w:p w14:paraId="39AA229D" w14:textId="77777777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Аккерманська фортеця, м. Білгород-Дністровський Одеська область; </w:t>
      </w:r>
    </w:p>
    <w:p w14:paraId="4EFEA25F" w14:textId="5BF35D9A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Успенський собор, м. Харків; </w:t>
      </w:r>
    </w:p>
    <w:p w14:paraId="19A7FF57" w14:textId="0CC712D5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Борисоглібський собор, м. Чернігів; </w:t>
      </w:r>
    </w:p>
    <w:p w14:paraId="5CFB6480" w14:textId="0AE0CF0A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Харківський академічний український драматичний театр імені Тараса Шевченка, м. Харків; </w:t>
      </w:r>
    </w:p>
    <w:p w14:paraId="334B6FAC" w14:textId="02686C16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lastRenderedPageBreak/>
        <w:t xml:space="preserve">Будівля Кірхи (Церква Святого Павла), м. Одеса; </w:t>
      </w:r>
    </w:p>
    <w:p w14:paraId="7007E5E9" w14:textId="5D595519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Садиба Л.Є.Кеніга: Палац (Головний будинок), м. Тростянець Сумська область; </w:t>
      </w:r>
    </w:p>
    <w:p w14:paraId="7A0BFFF8" w14:textId="11E8562F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Мовчанський монастир, м. Путивль Сумська область; </w:t>
      </w:r>
    </w:p>
    <w:p w14:paraId="3967D5B0" w14:textId="21687384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Покровська церква, м. Харків; </w:t>
      </w:r>
    </w:p>
    <w:p w14:paraId="5F7D9FDF" w14:textId="7028E432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Приморські сходи, м. Одеса; </w:t>
      </w:r>
    </w:p>
    <w:p w14:paraId="716B0D2B" w14:textId="56204F61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Воскресенська церква, м. Суми; </w:t>
      </w:r>
    </w:p>
    <w:p w14:paraId="32E51EB0" w14:textId="733722F7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Кирилівська церква, Київ; </w:t>
      </w:r>
    </w:p>
    <w:p w14:paraId="1AD7075A" w14:textId="6E1DCF01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Спасо-Преображенський собор, м. Суми; </w:t>
      </w:r>
    </w:p>
    <w:p w14:paraId="4641D120" w14:textId="48805B9A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Троїцький собор, м. Суми;</w:t>
      </w:r>
    </w:p>
    <w:p w14:paraId="660092C3" w14:textId="602EAA45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Городище літописного міста Іскоростень, с. Коростень Житомирська область; </w:t>
      </w:r>
    </w:p>
    <w:p w14:paraId="3F0B3063" w14:textId="336E2E1B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Археологічний комплекс «Острів Байда», м. Запоріжжя; </w:t>
      </w:r>
    </w:p>
    <w:p w14:paraId="2B4C0EDF" w14:textId="7EB0761C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Одеський музей західного і східного мистецтва, м. Одеса; </w:t>
      </w:r>
    </w:p>
    <w:p w14:paraId="1FE350BD" w14:textId="473D46F3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Одеський національний художній музей, м. Одеса; </w:t>
      </w:r>
    </w:p>
    <w:p w14:paraId="6E9D2053" w14:textId="327153B8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 xml:space="preserve">Одеська національна наукова бібліотека, м. Одеса; </w:t>
      </w:r>
    </w:p>
    <w:p w14:paraId="47B9160D" w14:textId="2711C0EF" w:rsidR="00504482" w:rsidRPr="00504482" w:rsidRDefault="00504482" w:rsidP="00504482">
      <w:pPr>
        <w:pStyle w:val="a9"/>
        <w:numPr>
          <w:ilvl w:val="0"/>
          <w:numId w:val="1"/>
        </w:numPr>
        <w:jc w:val="both"/>
        <w:rPr>
          <w:rFonts w:ascii="Osnova MFA Cyrillic" w:hAnsi="Osnova MFA Cyrillic"/>
          <w:sz w:val="24"/>
          <w:szCs w:val="24"/>
        </w:rPr>
      </w:pPr>
      <w:r w:rsidRPr="00504482">
        <w:rPr>
          <w:rFonts w:ascii="Osnova MFA Cyrillic" w:hAnsi="Osnova MFA Cyrillic"/>
          <w:sz w:val="24"/>
          <w:szCs w:val="24"/>
        </w:rPr>
        <w:t>Музей мистецтв Прикарпаття, м. Івано-Франківськ.</w:t>
      </w:r>
    </w:p>
    <w:sectPr w:rsidR="00504482" w:rsidRPr="00504482" w:rsidSect="007558AC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473E7"/>
    <w:multiLevelType w:val="hybridMultilevel"/>
    <w:tmpl w:val="83AE47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66"/>
    <w:rsid w:val="00504482"/>
    <w:rsid w:val="006478D3"/>
    <w:rsid w:val="007558AC"/>
    <w:rsid w:val="007A1F53"/>
    <w:rsid w:val="00996166"/>
    <w:rsid w:val="009B49D0"/>
    <w:rsid w:val="00B6271E"/>
    <w:rsid w:val="00D50A37"/>
    <w:rsid w:val="00E14D1F"/>
    <w:rsid w:val="00E908C9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3452"/>
  <w15:chartTrackingRefBased/>
  <w15:docId w15:val="{CFE1684D-9CE3-472C-A592-CB74F11D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1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61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61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61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61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61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96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96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96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1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961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6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2558</Characters>
  <Application>Microsoft Office Word</Application>
  <DocSecurity>0</DocSecurity>
  <Lines>54</Lines>
  <Paragraphs>36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Barabulia</dc:creator>
  <cp:keywords/>
  <dc:description/>
  <cp:lastModifiedBy>Anton Barabulia</cp:lastModifiedBy>
  <cp:revision>7</cp:revision>
  <cp:lastPrinted>2025-01-08T06:57:00Z</cp:lastPrinted>
  <dcterms:created xsi:type="dcterms:W3CDTF">2024-08-07T15:04:00Z</dcterms:created>
  <dcterms:modified xsi:type="dcterms:W3CDTF">2025-12-16T14:57:00Z</dcterms:modified>
</cp:coreProperties>
</file>